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FD870" w14:textId="3BDD875B" w:rsidR="00AC794B" w:rsidRPr="00F26B1C" w:rsidRDefault="00AC794B" w:rsidP="00AC794B">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w:t>
      </w:r>
      <w:r w:rsidR="00BC7001">
        <w:rPr>
          <w:rFonts w:ascii="Arial" w:hAnsi="Arial" w:cs="Arial"/>
          <w:b/>
          <w:bCs/>
          <w:lang w:val="en-US"/>
        </w:rPr>
        <w:t>2</w:t>
      </w:r>
      <w:r w:rsidR="00BC7001">
        <w:rPr>
          <w:rFonts w:ascii="Arial" w:hAnsi="Arial" w:cs="Arial"/>
          <w:b/>
          <w:bCs/>
          <w:lang w:val="en-US"/>
        </w:rPr>
        <w:tab/>
      </w:r>
      <w:r w:rsidR="00BC7001">
        <w:rPr>
          <w:rFonts w:ascii="Arial" w:hAnsi="Arial" w:cs="Arial"/>
          <w:b/>
          <w:bCs/>
          <w:lang w:val="en-US"/>
        </w:rPr>
        <w:tab/>
      </w:r>
      <w:r w:rsidR="00BC7001">
        <w:rPr>
          <w:rFonts w:ascii="Arial" w:hAnsi="Arial" w:cs="Arial"/>
          <w:b/>
          <w:bCs/>
          <w:lang w:val="en-US"/>
        </w:rPr>
        <w:tab/>
      </w:r>
      <w:r w:rsidR="00BC7001">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8619E4" w:rsidRPr="008619E4">
        <w:rPr>
          <w:rFonts w:ascii="Arial" w:hAnsi="Arial" w:cs="Arial"/>
          <w:b/>
          <w:bCs/>
          <w:lang w:val="en-US"/>
        </w:rPr>
        <w:t>R2-2305576</w:t>
      </w:r>
    </w:p>
    <w:p w14:paraId="27CAEAD4" w14:textId="063AECB6" w:rsidR="00D92427" w:rsidRPr="00A20554" w:rsidRDefault="001932A4" w:rsidP="00AC794B">
      <w:pPr>
        <w:tabs>
          <w:tab w:val="left" w:pos="1979"/>
        </w:tabs>
        <w:spacing w:after="180" w:line="240" w:lineRule="auto"/>
        <w:jc w:val="left"/>
        <w:rPr>
          <w:rFonts w:ascii="Arial" w:hAnsi="Arial" w:cs="Arial"/>
          <w:b/>
          <w:bCs/>
          <w:lang w:val="en-US"/>
        </w:rPr>
      </w:pPr>
      <w:r w:rsidRPr="00CB1218">
        <w:rPr>
          <w:rFonts w:ascii="Arial" w:hAnsi="Arial" w:cs="Arial"/>
          <w:b/>
          <w:bCs/>
          <w:lang w:val="en-US"/>
        </w:rPr>
        <w:t>Incheon, Korea, May 22-26, 2023</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r w:rsidR="00464F75">
        <w:rPr>
          <w:rFonts w:ascii="Arial" w:hAnsi="Arial" w:cs="Arial"/>
          <w:b/>
          <w:bCs/>
          <w:lang w:val="en-US"/>
        </w:rPr>
        <w:tab/>
      </w:r>
      <w:r w:rsidR="00464F75">
        <w:rPr>
          <w:rFonts w:ascii="Arial" w:hAnsi="Arial" w:cs="Arial"/>
          <w:b/>
          <w:bCs/>
          <w:lang w:val="en-US"/>
        </w:rPr>
        <w:tab/>
      </w:r>
      <w:r w:rsidR="00464F75">
        <w:rPr>
          <w:rFonts w:ascii="Arial" w:hAnsi="Arial" w:cs="Arial"/>
          <w:b/>
          <w:bCs/>
          <w:lang w:val="en-US"/>
        </w:rPr>
        <w:tab/>
      </w:r>
      <w:r w:rsidR="00464F75">
        <w:rPr>
          <w:rFonts w:ascii="Arial" w:hAnsi="Arial" w:cs="Arial"/>
          <w:b/>
          <w:bCs/>
          <w:lang w:val="en-US"/>
        </w:rPr>
        <w:tab/>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25FC59D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603D10" w:rsidRPr="00603D10">
        <w:rPr>
          <w:rFonts w:ascii="Arial" w:hAnsi="Arial" w:cs="Arial"/>
          <w:b/>
          <w:bCs/>
          <w:lang w:val="en-US" w:eastAsia="en-US"/>
        </w:rPr>
        <w:t>Contents of cell switch MAC CE</w:t>
      </w:r>
    </w:p>
    <w:p w14:paraId="12450CE5" w14:textId="51330326"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8E5626" w:rsidRPr="008E5626">
        <w:rPr>
          <w:rFonts w:ascii="Arial" w:hAnsi="Arial" w:cs="Arial"/>
          <w:b/>
          <w:bCs/>
          <w:lang w:val="en-US" w:eastAsia="en-US"/>
        </w:rPr>
        <w:t>7.4.2.</w:t>
      </w:r>
      <w:r w:rsidR="0028153B">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2DC411ED" w14:textId="2030A067" w:rsidR="00DB51CA" w:rsidRDefault="009822C3" w:rsidP="00140B1F">
      <w:r>
        <w:t>According to the agreements achieved in both RAN1 and RAN2, the cell switch MAC CE could have the contents</w:t>
      </w:r>
      <w:r w:rsidR="001B587F">
        <w:t xml:space="preserve"> given as follows</w:t>
      </w:r>
      <w:r>
        <w:t>:</w:t>
      </w:r>
    </w:p>
    <w:tbl>
      <w:tblPr>
        <w:tblStyle w:val="TableGrid"/>
        <w:tblW w:w="0" w:type="auto"/>
        <w:tblLook w:val="04A0" w:firstRow="1" w:lastRow="0" w:firstColumn="1" w:lastColumn="0" w:noHBand="0" w:noVBand="1"/>
      </w:tblPr>
      <w:tblGrid>
        <w:gridCol w:w="9855"/>
      </w:tblGrid>
      <w:tr w:rsidR="009822C3" w14:paraId="6E2DA42F" w14:textId="77777777" w:rsidTr="009822C3">
        <w:tc>
          <w:tcPr>
            <w:tcW w:w="9855" w:type="dxa"/>
          </w:tcPr>
          <w:p w14:paraId="33712E7F" w14:textId="77777777" w:rsidR="009822C3" w:rsidRDefault="007921FC" w:rsidP="00140B1F">
            <w:r>
              <w:t>RAN2#</w:t>
            </w:r>
            <w:r w:rsidR="00792381">
              <w:t>119bis meeting agreements:</w:t>
            </w:r>
          </w:p>
          <w:p w14:paraId="5B04D63D" w14:textId="58D82866" w:rsidR="00F55C88" w:rsidRDefault="00F55C88" w:rsidP="00F55C88">
            <w:pPr>
              <w:pStyle w:val="ListParagraph"/>
              <w:numPr>
                <w:ilvl w:val="0"/>
                <w:numId w:val="38"/>
              </w:numPr>
              <w:ind w:firstLineChars="0"/>
              <w:rPr>
                <w:rFonts w:eastAsia="Times New Roman"/>
                <w:lang w:val="en-US"/>
              </w:rPr>
            </w:pPr>
            <w:r w:rsidRPr="00F55C88">
              <w:rPr>
                <w:rFonts w:eastAsia="Times New Roman"/>
                <w:lang w:val="en-US"/>
              </w:rPr>
              <w:t xml:space="preserve">RAN2 assumes the MAC CE for L1/2 mobility trigger contains at least </w:t>
            </w:r>
            <w:r w:rsidRPr="003B2A19">
              <w:rPr>
                <w:rFonts w:eastAsia="Times New Roman"/>
                <w:highlight w:val="yellow"/>
                <w:lang w:val="en-US"/>
              </w:rPr>
              <w:t>a candidate configuration index</w:t>
            </w:r>
            <w:r w:rsidRPr="00F55C88">
              <w:rPr>
                <w:rFonts w:eastAsia="Times New Roman"/>
                <w:lang w:val="en-US"/>
              </w:rPr>
              <w:t xml:space="preserve">. </w:t>
            </w:r>
          </w:p>
          <w:p w14:paraId="31A909C9" w14:textId="77777777" w:rsidR="00CD559F" w:rsidRPr="00CD559F" w:rsidRDefault="00CD559F" w:rsidP="00CD559F">
            <w:pPr>
              <w:pStyle w:val="ListParagraph"/>
              <w:numPr>
                <w:ilvl w:val="0"/>
                <w:numId w:val="39"/>
              </w:numPr>
              <w:ind w:firstLineChars="0"/>
              <w:rPr>
                <w:rFonts w:eastAsia="Times New Roman"/>
                <w:lang w:val="en-US"/>
              </w:rPr>
            </w:pPr>
            <w:r w:rsidRPr="00CD559F">
              <w:rPr>
                <w:rFonts w:eastAsia="Times New Roman"/>
                <w:lang w:val="en-US"/>
              </w:rPr>
              <w:t xml:space="preserve">FFS if it should be possible to perform </w:t>
            </w:r>
            <w:r w:rsidRPr="00132CEE">
              <w:rPr>
                <w:rFonts w:eastAsia="Times New Roman"/>
                <w:highlight w:val="green"/>
                <w:lang w:val="en-US"/>
              </w:rPr>
              <w:t>SCell activation/deactivation</w:t>
            </w:r>
            <w:r w:rsidRPr="00CD559F">
              <w:rPr>
                <w:rFonts w:eastAsia="Times New Roman"/>
                <w:lang w:val="en-US"/>
              </w:rPr>
              <w:t xml:space="preserve"> (amongst SCells associated with the candidate configuration) simultaneously with L1 L2 mobility trigger MAC CE (if so, FFS how this is determined).</w:t>
            </w:r>
          </w:p>
          <w:p w14:paraId="4156ADD7" w14:textId="77777777" w:rsidR="004C10EE" w:rsidRPr="00611E34" w:rsidRDefault="004C10EE" w:rsidP="00611E34">
            <w:pPr>
              <w:pStyle w:val="ListParagraph"/>
              <w:numPr>
                <w:ilvl w:val="0"/>
                <w:numId w:val="40"/>
              </w:numPr>
              <w:ind w:firstLineChars="0"/>
              <w:rPr>
                <w:rFonts w:eastAsia="Times New Roman"/>
                <w:lang w:val="en-US"/>
              </w:rPr>
            </w:pPr>
            <w:r w:rsidRPr="00611E34">
              <w:rPr>
                <w:rFonts w:eastAsia="Times New Roman"/>
                <w:lang w:val="en-US"/>
              </w:rPr>
              <w:t xml:space="preserve">RAN2 assumes </w:t>
            </w:r>
            <w:r w:rsidRPr="00132CEE">
              <w:rPr>
                <w:rFonts w:eastAsia="Times New Roman"/>
                <w:highlight w:val="green"/>
                <w:lang w:val="en-US"/>
              </w:rPr>
              <w:t>RACH resource for CFRA</w:t>
            </w:r>
            <w:r w:rsidRPr="00611E34">
              <w:rPr>
                <w:rFonts w:eastAsia="Times New Roman"/>
                <w:lang w:val="en-US"/>
              </w:rPr>
              <w:t xml:space="preserve"> for L1 L2 dynamic switch may be provided in RRC configuration (or potentially by MAC CE FFS).</w:t>
            </w:r>
          </w:p>
          <w:p w14:paraId="3D367B86" w14:textId="380833B4" w:rsidR="00792381" w:rsidRPr="00A52325" w:rsidRDefault="00C447F9" w:rsidP="00140B1F">
            <w:pPr>
              <w:pStyle w:val="ListParagraph"/>
              <w:numPr>
                <w:ilvl w:val="0"/>
                <w:numId w:val="41"/>
              </w:numPr>
              <w:ind w:firstLineChars="0"/>
              <w:rPr>
                <w:rFonts w:eastAsia="Times New Roman"/>
                <w:lang w:val="en-US"/>
              </w:rPr>
            </w:pPr>
            <w:r w:rsidRPr="00C447F9">
              <w:rPr>
                <w:rFonts w:eastAsia="Times New Roman"/>
                <w:lang w:val="en-US"/>
              </w:rPr>
              <w:t>FFS if the MAC CE can indicate TCI state(s) (or other beam info) to activate for the target Cell(s), dep on RAN1 progress.</w:t>
            </w:r>
          </w:p>
        </w:tc>
      </w:tr>
    </w:tbl>
    <w:p w14:paraId="2B09A928" w14:textId="77777777" w:rsidR="009822C3" w:rsidRDefault="009822C3" w:rsidP="00140B1F"/>
    <w:tbl>
      <w:tblPr>
        <w:tblStyle w:val="TableGrid"/>
        <w:tblW w:w="0" w:type="auto"/>
        <w:tblLook w:val="04A0" w:firstRow="1" w:lastRow="0" w:firstColumn="1" w:lastColumn="0" w:noHBand="0" w:noVBand="1"/>
      </w:tblPr>
      <w:tblGrid>
        <w:gridCol w:w="9855"/>
      </w:tblGrid>
      <w:tr w:rsidR="00A52325" w14:paraId="2F285601" w14:textId="77777777" w:rsidTr="00A52325">
        <w:tc>
          <w:tcPr>
            <w:tcW w:w="9855" w:type="dxa"/>
          </w:tcPr>
          <w:p w14:paraId="01A9FB74" w14:textId="215058C5" w:rsidR="0059578E" w:rsidRPr="009107B3" w:rsidRDefault="00A52325" w:rsidP="0059578E">
            <w:r>
              <w:t>RAN1#</w:t>
            </w:r>
            <w:r w:rsidR="002634D6">
              <w:t>112bis-e meeting agreements:</w:t>
            </w:r>
          </w:p>
          <w:p w14:paraId="71204836" w14:textId="77777777" w:rsidR="0059578E" w:rsidRPr="00AC4FA3" w:rsidRDefault="0059578E" w:rsidP="0059578E">
            <w:pPr>
              <w:rPr>
                <w:rFonts w:ascii="Arial" w:eastAsia="等线" w:hAnsi="Arial" w:cs="Arial"/>
                <w:highlight w:val="green"/>
              </w:rPr>
            </w:pPr>
            <w:r w:rsidRPr="009107B3">
              <w:rPr>
                <w:rFonts w:ascii="Arial" w:eastAsia="等线" w:hAnsi="Arial" w:cs="Arial"/>
              </w:rPr>
              <w:t>Agreement</w:t>
            </w:r>
          </w:p>
          <w:p w14:paraId="7E7F2CDC" w14:textId="77777777" w:rsidR="0059578E" w:rsidRPr="00AC4FA3" w:rsidRDefault="0059578E" w:rsidP="0059578E">
            <w:pPr>
              <w:pStyle w:val="ListParagraph"/>
              <w:ind w:firstLineChars="0" w:firstLine="0"/>
              <w:rPr>
                <w:rFonts w:ascii="Arial" w:eastAsia="等线" w:hAnsi="Arial" w:cs="Arial"/>
                <w:sz w:val="20"/>
                <w:lang w:val="en-US"/>
              </w:rPr>
            </w:pPr>
            <w:r w:rsidRPr="00AC4FA3">
              <w:rPr>
                <w:rFonts w:ascii="Arial" w:hAnsi="Arial" w:cs="Arial"/>
                <w:sz w:val="20"/>
              </w:rPr>
              <w:t>From RAN1 point of view, at least the following information can be included in the cell switch command, which is conveyed by MAC CE</w:t>
            </w:r>
          </w:p>
          <w:p w14:paraId="6FE8F937" w14:textId="77777777" w:rsidR="0059578E" w:rsidRPr="00AC4FA3" w:rsidRDefault="0059578E" w:rsidP="0059578E">
            <w:pPr>
              <w:pStyle w:val="ListParagraph"/>
              <w:numPr>
                <w:ilvl w:val="1"/>
                <w:numId w:val="42"/>
              </w:numPr>
              <w:snapToGrid w:val="0"/>
              <w:ind w:firstLineChars="0"/>
              <w:jc w:val="both"/>
              <w:rPr>
                <w:rFonts w:ascii="Arial" w:eastAsia="Batang" w:hAnsi="Arial" w:cs="Arial"/>
                <w:sz w:val="20"/>
              </w:rPr>
            </w:pPr>
            <w:r w:rsidRPr="00AC4FA3">
              <w:rPr>
                <w:rFonts w:ascii="Arial" w:hAnsi="Arial" w:cs="Arial"/>
                <w:sz w:val="20"/>
              </w:rPr>
              <w:t>Information to identify the target cell(s)</w:t>
            </w:r>
          </w:p>
          <w:p w14:paraId="57ADB894" w14:textId="77777777" w:rsidR="0059578E" w:rsidRPr="00AC4FA3" w:rsidRDefault="0059578E" w:rsidP="0059578E">
            <w:pPr>
              <w:pStyle w:val="ListParagraph"/>
              <w:numPr>
                <w:ilvl w:val="2"/>
                <w:numId w:val="42"/>
              </w:numPr>
              <w:snapToGrid w:val="0"/>
              <w:ind w:firstLineChars="0"/>
              <w:jc w:val="both"/>
              <w:rPr>
                <w:rFonts w:ascii="Arial" w:hAnsi="Arial" w:cs="Arial"/>
                <w:sz w:val="20"/>
              </w:rPr>
            </w:pPr>
            <w:r w:rsidRPr="00AC4FA3">
              <w:rPr>
                <w:rFonts w:ascii="Arial" w:hAnsi="Arial" w:cs="Arial"/>
                <w:sz w:val="20"/>
              </w:rPr>
              <w:t>The details including bit number are designed by RAN2</w:t>
            </w:r>
          </w:p>
          <w:p w14:paraId="3E8EDA83" w14:textId="77777777" w:rsidR="0059578E" w:rsidRPr="00AC4FA3" w:rsidRDefault="0059578E" w:rsidP="0059578E">
            <w:pPr>
              <w:pStyle w:val="ListParagraph"/>
              <w:numPr>
                <w:ilvl w:val="1"/>
                <w:numId w:val="42"/>
              </w:numPr>
              <w:snapToGrid w:val="0"/>
              <w:ind w:firstLineChars="0"/>
              <w:jc w:val="both"/>
              <w:rPr>
                <w:rFonts w:ascii="Arial" w:hAnsi="Arial" w:cs="Arial"/>
                <w:sz w:val="20"/>
              </w:rPr>
            </w:pPr>
            <w:r w:rsidRPr="009107B3">
              <w:rPr>
                <w:rFonts w:ascii="Arial" w:hAnsi="Arial" w:cs="Arial"/>
                <w:sz w:val="20"/>
                <w:highlight w:val="yellow"/>
              </w:rPr>
              <w:t>TA related information</w:t>
            </w:r>
            <w:r w:rsidRPr="00AC4FA3">
              <w:rPr>
                <w:rFonts w:ascii="Arial" w:hAnsi="Arial" w:cs="Arial"/>
                <w:sz w:val="20"/>
              </w:rPr>
              <w:t xml:space="preserve"> (details up to the discussion in A.I. 9.10.2)</w:t>
            </w:r>
          </w:p>
          <w:p w14:paraId="096197C7" w14:textId="77777777" w:rsidR="0059578E" w:rsidRPr="009107B3" w:rsidRDefault="0059578E" w:rsidP="0059578E">
            <w:pPr>
              <w:pStyle w:val="ListParagraph"/>
              <w:numPr>
                <w:ilvl w:val="1"/>
                <w:numId w:val="42"/>
              </w:numPr>
              <w:snapToGrid w:val="0"/>
              <w:ind w:firstLineChars="0"/>
              <w:jc w:val="both"/>
              <w:rPr>
                <w:rFonts w:ascii="Arial" w:hAnsi="Arial" w:cs="Arial"/>
                <w:sz w:val="20"/>
                <w:highlight w:val="yellow"/>
              </w:rPr>
            </w:pPr>
            <w:r w:rsidRPr="009107B3">
              <w:rPr>
                <w:rFonts w:ascii="Arial" w:hAnsi="Arial" w:cs="Arial"/>
                <w:sz w:val="20"/>
                <w:highlight w:val="yellow"/>
              </w:rPr>
              <w:t>1 joint or 1 pair of UL and DL unified TCI State index for the target Cell</w:t>
            </w:r>
          </w:p>
          <w:p w14:paraId="00086C03" w14:textId="77777777" w:rsidR="0059578E" w:rsidRPr="00AC4FA3" w:rsidRDefault="0059578E" w:rsidP="0059578E">
            <w:pPr>
              <w:pStyle w:val="ListParagraph"/>
              <w:numPr>
                <w:ilvl w:val="2"/>
                <w:numId w:val="42"/>
              </w:numPr>
              <w:snapToGrid w:val="0"/>
              <w:ind w:firstLineChars="0"/>
              <w:jc w:val="both"/>
              <w:rPr>
                <w:rFonts w:ascii="Arial" w:hAnsi="Arial" w:cs="Arial"/>
                <w:sz w:val="20"/>
              </w:rPr>
            </w:pPr>
            <w:r w:rsidRPr="00AC4FA3">
              <w:rPr>
                <w:rFonts w:ascii="Arial" w:hAnsi="Arial" w:cs="Arial"/>
                <w:sz w:val="20"/>
              </w:rPr>
              <w:t>Note: discussion on target SpCell is not precluded</w:t>
            </w:r>
          </w:p>
          <w:p w14:paraId="5E2463D6" w14:textId="77777777" w:rsidR="0059578E" w:rsidRPr="009107B3" w:rsidRDefault="0059578E" w:rsidP="0059578E">
            <w:pPr>
              <w:pStyle w:val="ListParagraph"/>
              <w:numPr>
                <w:ilvl w:val="1"/>
                <w:numId w:val="42"/>
              </w:numPr>
              <w:snapToGrid w:val="0"/>
              <w:ind w:firstLineChars="0"/>
              <w:jc w:val="both"/>
              <w:rPr>
                <w:rFonts w:ascii="Arial" w:hAnsi="Arial" w:cs="Arial"/>
                <w:sz w:val="20"/>
                <w:highlight w:val="yellow"/>
              </w:rPr>
            </w:pPr>
            <w:r w:rsidRPr="009107B3">
              <w:rPr>
                <w:rFonts w:ascii="Arial" w:hAnsi="Arial" w:cs="Arial"/>
                <w:sz w:val="20"/>
                <w:highlight w:val="yellow"/>
              </w:rPr>
              <w:t>Active DL and UL BWPs for the target cell</w:t>
            </w:r>
          </w:p>
          <w:p w14:paraId="35170427" w14:textId="77777777" w:rsidR="0059578E" w:rsidRPr="00AC4FA3" w:rsidRDefault="0059578E" w:rsidP="0059578E">
            <w:pPr>
              <w:pStyle w:val="ListParagraph"/>
              <w:numPr>
                <w:ilvl w:val="1"/>
                <w:numId w:val="42"/>
              </w:numPr>
              <w:snapToGrid w:val="0"/>
              <w:ind w:firstLineChars="0"/>
              <w:jc w:val="both"/>
              <w:rPr>
                <w:rFonts w:ascii="Arial" w:hAnsi="Arial" w:cs="Arial"/>
                <w:sz w:val="20"/>
              </w:rPr>
            </w:pPr>
            <w:r w:rsidRPr="00AC4FA3">
              <w:rPr>
                <w:rFonts w:ascii="Arial" w:hAnsi="Arial" w:cs="Arial"/>
                <w:sz w:val="20"/>
              </w:rPr>
              <w:t>FFS: Triggering of aperiodic TRS transmitted from the target cell</w:t>
            </w:r>
          </w:p>
          <w:p w14:paraId="4F071380" w14:textId="77777777" w:rsidR="0059578E" w:rsidRPr="00AC4FA3" w:rsidRDefault="0059578E" w:rsidP="0059578E">
            <w:pPr>
              <w:pStyle w:val="ListParagraph"/>
              <w:numPr>
                <w:ilvl w:val="1"/>
                <w:numId w:val="42"/>
              </w:numPr>
              <w:snapToGrid w:val="0"/>
              <w:ind w:firstLineChars="0"/>
              <w:jc w:val="both"/>
              <w:rPr>
                <w:rFonts w:ascii="Arial" w:hAnsi="Arial" w:cs="Arial"/>
                <w:sz w:val="20"/>
              </w:rPr>
            </w:pPr>
            <w:r w:rsidRPr="00AC4FA3">
              <w:rPr>
                <w:rFonts w:ascii="Arial" w:hAnsi="Arial" w:cs="Arial"/>
                <w:sz w:val="20"/>
              </w:rPr>
              <w:t>FFS: Triggering the CSI acquisition of the target cell and reporting to the target cell</w:t>
            </w:r>
          </w:p>
          <w:p w14:paraId="5D83EC57" w14:textId="77777777" w:rsidR="0059578E" w:rsidRPr="00AC4FA3" w:rsidRDefault="0059578E" w:rsidP="0059578E">
            <w:pPr>
              <w:pStyle w:val="ListParagraph"/>
              <w:numPr>
                <w:ilvl w:val="1"/>
                <w:numId w:val="42"/>
              </w:numPr>
              <w:snapToGrid w:val="0"/>
              <w:ind w:firstLineChars="0"/>
              <w:jc w:val="both"/>
              <w:rPr>
                <w:rFonts w:ascii="Arial" w:hAnsi="Arial" w:cs="Arial"/>
                <w:sz w:val="20"/>
              </w:rPr>
            </w:pPr>
            <w:r w:rsidRPr="00AC4FA3">
              <w:rPr>
                <w:rFonts w:ascii="Arial" w:hAnsi="Arial" w:cs="Arial"/>
                <w:sz w:val="20"/>
              </w:rPr>
              <w:t>FFS: Triggering of aperiodic SRS transmission to the target cell</w:t>
            </w:r>
          </w:p>
          <w:p w14:paraId="290EB374" w14:textId="77777777" w:rsidR="0059578E" w:rsidRPr="00AC4FA3" w:rsidRDefault="0059578E" w:rsidP="0059578E">
            <w:pPr>
              <w:pStyle w:val="ListParagraph"/>
              <w:numPr>
                <w:ilvl w:val="1"/>
                <w:numId w:val="42"/>
              </w:numPr>
              <w:snapToGrid w:val="0"/>
              <w:ind w:firstLineChars="0"/>
              <w:jc w:val="both"/>
              <w:rPr>
                <w:rFonts w:ascii="Arial" w:hAnsi="Arial" w:cs="Arial"/>
                <w:sz w:val="20"/>
              </w:rPr>
            </w:pPr>
            <w:r w:rsidRPr="00AC4FA3">
              <w:rPr>
                <w:rFonts w:ascii="Arial" w:hAnsi="Arial" w:cs="Arial"/>
                <w:sz w:val="20"/>
              </w:rPr>
              <w:t>FFS: C-RNTI</w:t>
            </w:r>
          </w:p>
          <w:p w14:paraId="11855831" w14:textId="2AE3EFD7" w:rsidR="0059578E" w:rsidRPr="009107B3" w:rsidRDefault="0059578E" w:rsidP="009107B3">
            <w:pPr>
              <w:pStyle w:val="ListParagraph"/>
              <w:numPr>
                <w:ilvl w:val="1"/>
                <w:numId w:val="42"/>
              </w:numPr>
              <w:snapToGrid w:val="0"/>
              <w:ind w:firstLineChars="0"/>
              <w:jc w:val="both"/>
              <w:rPr>
                <w:rFonts w:ascii="Arial" w:hAnsi="Arial" w:cs="Arial"/>
                <w:sz w:val="20"/>
              </w:rPr>
            </w:pPr>
            <w:r w:rsidRPr="00AC4FA3">
              <w:rPr>
                <w:rFonts w:ascii="Arial" w:hAnsi="Arial" w:cs="Arial"/>
                <w:sz w:val="20"/>
              </w:rPr>
              <w:t>FFS: the presence of each field (i.e. always present or configurable)</w:t>
            </w:r>
          </w:p>
          <w:p w14:paraId="784FF9A0" w14:textId="307F5AC0" w:rsidR="002634D6" w:rsidRDefault="002634D6" w:rsidP="00140B1F"/>
        </w:tc>
      </w:tr>
    </w:tbl>
    <w:p w14:paraId="3FFB8816" w14:textId="0812E963" w:rsidR="00A52325" w:rsidRDefault="002D10CF" w:rsidP="00140B1F">
      <w:r>
        <w:t>In this contribution, we discuss whether other fields apart from what have been agreed by RAN1 and RAN2 can be included in the cell switch MAC CE</w:t>
      </w:r>
    </w:p>
    <w:p w14:paraId="6B332CC7" w14:textId="63399489" w:rsidR="00DA44DE" w:rsidRDefault="00DA44DE" w:rsidP="00DA44DE">
      <w:pPr>
        <w:pStyle w:val="Heading1"/>
        <w:tabs>
          <w:tab w:val="left" w:pos="432"/>
        </w:tabs>
        <w:jc w:val="left"/>
      </w:pPr>
      <w:r>
        <w:rPr>
          <w:rFonts w:hint="eastAsia"/>
        </w:rPr>
        <w:lastRenderedPageBreak/>
        <w:t>Discussion</w:t>
      </w:r>
    </w:p>
    <w:p w14:paraId="37A64B2A" w14:textId="06714EDD" w:rsidR="00BE13E3" w:rsidRPr="006669F6" w:rsidRDefault="009107B3" w:rsidP="00BE13E3">
      <w:pPr>
        <w:pStyle w:val="Heading2"/>
        <w:keepLines w:val="0"/>
        <w:tabs>
          <w:tab w:val="clear" w:pos="1002"/>
          <w:tab w:val="num" w:pos="576"/>
        </w:tabs>
        <w:spacing w:line="240" w:lineRule="auto"/>
        <w:ind w:left="0" w:firstLine="0"/>
        <w:jc w:val="left"/>
        <w:rPr>
          <w:rFonts w:cs="Arial"/>
          <w:bCs/>
          <w:lang w:val="en-US" w:eastAsia="en-US"/>
        </w:rPr>
      </w:pPr>
      <w:r>
        <w:rPr>
          <w:rFonts w:cs="Arial"/>
          <w:bCs/>
          <w:lang w:val="en-US" w:eastAsia="en-US"/>
        </w:rPr>
        <w:t>Additional fields in cell switch MAC CE</w:t>
      </w:r>
    </w:p>
    <w:p w14:paraId="2EC106B2" w14:textId="326AE79F" w:rsidR="002D4D93" w:rsidRDefault="00EF105A" w:rsidP="004A5E23">
      <w:pPr>
        <w:rPr>
          <w:lang w:eastAsia="ko-KR"/>
        </w:rPr>
      </w:pPr>
      <w:r>
        <w:rPr>
          <w:lang w:eastAsia="ko-KR"/>
        </w:rPr>
        <w:t xml:space="preserve">According to the MAC CE contents listed above, we consider that the controlling of the L1 signals (e.g. </w:t>
      </w:r>
      <w:r w:rsidR="003E0995" w:rsidRPr="000F1E2D">
        <w:rPr>
          <w:lang w:eastAsia="ko-KR"/>
        </w:rPr>
        <w:t xml:space="preserve">aperiodic TRS, </w:t>
      </w:r>
      <w:r w:rsidR="00900C91" w:rsidRPr="000F1E2D">
        <w:rPr>
          <w:lang w:eastAsia="ko-KR"/>
        </w:rPr>
        <w:t>CSI acquisition and aperiodic SRS</w:t>
      </w:r>
      <w:r>
        <w:rPr>
          <w:lang w:eastAsia="ko-KR"/>
        </w:rPr>
        <w:t>) in MAC CE can be left to RAN1 discussion.</w:t>
      </w:r>
      <w:r w:rsidR="000F1E2D">
        <w:rPr>
          <w:lang w:eastAsia="ko-KR"/>
        </w:rPr>
        <w:t xml:space="preserve"> RAN2 can focus on the potential fields which impact the RAN2 functions</w:t>
      </w:r>
      <w:r w:rsidR="00132CEE">
        <w:rPr>
          <w:lang w:eastAsia="ko-KR"/>
        </w:rPr>
        <w:t>, including</w:t>
      </w:r>
      <w:r w:rsidR="00DA51BC">
        <w:rPr>
          <w:lang w:eastAsia="ko-KR"/>
        </w:rPr>
        <w:t xml:space="preserve"> the fields as highlighted above in green</w:t>
      </w:r>
      <w:r w:rsidR="00132CEE">
        <w:rPr>
          <w:lang w:eastAsia="ko-KR"/>
        </w:rPr>
        <w:t>:</w:t>
      </w:r>
    </w:p>
    <w:p w14:paraId="07EB71F5" w14:textId="12AD290C" w:rsidR="00132CEE" w:rsidRPr="00132CEE" w:rsidRDefault="00132CEE" w:rsidP="00132CEE">
      <w:pPr>
        <w:pStyle w:val="ListParagraph"/>
        <w:numPr>
          <w:ilvl w:val="0"/>
          <w:numId w:val="43"/>
        </w:numPr>
        <w:ind w:firstLineChars="0"/>
        <w:rPr>
          <w:rFonts w:eastAsia="Times New Roman"/>
          <w:lang w:val="en-US"/>
        </w:rPr>
      </w:pPr>
      <w:r w:rsidRPr="00132CEE">
        <w:rPr>
          <w:rFonts w:eastAsia="Times New Roman"/>
          <w:lang w:val="en-US"/>
        </w:rPr>
        <w:t>SCell activation/deactivation</w:t>
      </w:r>
    </w:p>
    <w:p w14:paraId="180C5AA6" w14:textId="6109C834" w:rsidR="00132CEE" w:rsidRPr="00132CEE" w:rsidRDefault="00132CEE" w:rsidP="00132CEE">
      <w:pPr>
        <w:pStyle w:val="ListParagraph"/>
        <w:numPr>
          <w:ilvl w:val="0"/>
          <w:numId w:val="43"/>
        </w:numPr>
        <w:ind w:firstLineChars="0"/>
        <w:rPr>
          <w:lang w:eastAsia="ko-KR"/>
        </w:rPr>
      </w:pPr>
      <w:r w:rsidRPr="00132CEE">
        <w:rPr>
          <w:rFonts w:eastAsia="Times New Roman"/>
          <w:lang w:val="en-US"/>
        </w:rPr>
        <w:t>RACH resource for CFRA</w:t>
      </w:r>
    </w:p>
    <w:p w14:paraId="3B5081D8" w14:textId="7E6B713C" w:rsidR="00A51AE2" w:rsidRDefault="00A97A3D" w:rsidP="004A5E23">
      <w:pPr>
        <w:rPr>
          <w:lang w:eastAsia="ko-KR"/>
        </w:rPr>
      </w:pPr>
      <w:r>
        <w:rPr>
          <w:lang w:eastAsia="ko-KR"/>
        </w:rPr>
        <w:t>The SCell activation/deactivation function is mainly used to activate extra frequency resource of an SCell when the UE requires higher throughput, and to deactivate extra frequency resource of an SCell when the UE does not have much data to transmit and requires power saving.</w:t>
      </w:r>
      <w:r w:rsidR="005A4387">
        <w:rPr>
          <w:lang w:eastAsia="ko-KR"/>
        </w:rPr>
        <w:t xml:space="preserve"> According to the legacy </w:t>
      </w:r>
      <w:r w:rsidR="00D30DFE">
        <w:rPr>
          <w:lang w:eastAsia="ko-KR"/>
        </w:rPr>
        <w:t xml:space="preserve">procedure for controlling the SCell state, the SCell state can be indicated via RRC (i.e. </w:t>
      </w:r>
      <w:r w:rsidR="00A71B95" w:rsidRPr="00A71B95">
        <w:rPr>
          <w:i/>
          <w:iCs/>
        </w:rPr>
        <w:t>sCellState-r16</w:t>
      </w:r>
      <w:r w:rsidR="00D30DFE">
        <w:rPr>
          <w:lang w:eastAsia="ko-KR"/>
        </w:rPr>
        <w:t xml:space="preserve">) and </w:t>
      </w:r>
      <w:r w:rsidR="001524F0">
        <w:rPr>
          <w:lang w:eastAsia="ko-KR"/>
        </w:rPr>
        <w:t>“</w:t>
      </w:r>
      <w:r w:rsidR="001524F0" w:rsidRPr="00B71987">
        <w:rPr>
          <w:noProof/>
          <w:lang w:eastAsia="ko-KR"/>
        </w:rPr>
        <w:t xml:space="preserve">SCell </w:t>
      </w:r>
      <w:r w:rsidR="001524F0" w:rsidRPr="00B71987">
        <w:rPr>
          <w:noProof/>
        </w:rPr>
        <w:t xml:space="preserve">Activation/Deactivation MAC </w:t>
      </w:r>
      <w:r w:rsidR="001524F0" w:rsidRPr="00B71987">
        <w:rPr>
          <w:noProof/>
          <w:lang w:eastAsia="ko-KR"/>
        </w:rPr>
        <w:t>CE</w:t>
      </w:r>
      <w:r w:rsidR="001524F0">
        <w:rPr>
          <w:lang w:eastAsia="ko-KR"/>
        </w:rPr>
        <w:t>”</w:t>
      </w:r>
      <w:r w:rsidR="003C38DF">
        <w:rPr>
          <w:lang w:eastAsia="ko-KR"/>
        </w:rPr>
        <w:t>. Firstly, we think that the legacy procedures for controlling the SCell state at cell switch should still be applicable</w:t>
      </w:r>
      <w:r w:rsidR="006D6B75">
        <w:rPr>
          <w:lang w:eastAsia="ko-KR"/>
        </w:rPr>
        <w:t xml:space="preserve"> for LTM</w:t>
      </w:r>
      <w:r w:rsidR="003C38DF">
        <w:rPr>
          <w:lang w:eastAsia="ko-KR"/>
        </w:rPr>
        <w:t>.</w:t>
      </w:r>
      <w:r w:rsidR="005B35ED">
        <w:rPr>
          <w:lang w:eastAsia="ko-KR"/>
        </w:rPr>
        <w:t xml:space="preserve"> Then the candidate cell configuration should also be able to indicate the SCell state via </w:t>
      </w:r>
      <w:r w:rsidR="00D76E77" w:rsidRPr="00A71B95">
        <w:rPr>
          <w:i/>
          <w:iCs/>
        </w:rPr>
        <w:t>sCellState-r16</w:t>
      </w:r>
      <w:r w:rsidR="00D76E77">
        <w:rPr>
          <w:lang w:eastAsia="ko-KR"/>
        </w:rPr>
        <w:t>.</w:t>
      </w:r>
      <w:r w:rsidR="00730971">
        <w:rPr>
          <w:lang w:eastAsia="ko-KR"/>
        </w:rPr>
        <w:t xml:space="preserve"> On the other hand, we think that the SCell state should be controlled by the target DU</w:t>
      </w:r>
      <w:r w:rsidR="006E3052">
        <w:rPr>
          <w:lang w:eastAsia="ko-KR"/>
        </w:rPr>
        <w:t xml:space="preserve"> which controls the use of all the radio resource of the target cell.</w:t>
      </w:r>
      <w:r w:rsidR="001241B0">
        <w:rPr>
          <w:lang w:eastAsia="ko-KR"/>
        </w:rPr>
        <w:t xml:space="preserve"> </w:t>
      </w:r>
      <w:r w:rsidR="004358BC">
        <w:rPr>
          <w:lang w:eastAsia="ko-KR"/>
        </w:rPr>
        <w:t>T</w:t>
      </w:r>
      <w:r w:rsidR="001241B0">
        <w:rPr>
          <w:lang w:eastAsia="ko-KR"/>
        </w:rPr>
        <w:t xml:space="preserve">he LTM procedure is targeting at avoiding the RRC reconfiguration </w:t>
      </w:r>
      <w:r w:rsidR="00F53E8F">
        <w:rPr>
          <w:lang w:eastAsia="ko-KR"/>
        </w:rPr>
        <w:t>at</w:t>
      </w:r>
      <w:r w:rsidR="009C2EE0">
        <w:rPr>
          <w:lang w:eastAsia="ko-KR"/>
        </w:rPr>
        <w:t xml:space="preserve"> </w:t>
      </w:r>
      <w:r w:rsidR="00C90A9D">
        <w:rPr>
          <w:lang w:eastAsia="ko-KR"/>
        </w:rPr>
        <w:t>the subsequent cell switch</w:t>
      </w:r>
      <w:r w:rsidR="00D7515E">
        <w:rPr>
          <w:lang w:eastAsia="ko-KR"/>
        </w:rPr>
        <w:t>es</w:t>
      </w:r>
      <w:r w:rsidR="006D6B75">
        <w:rPr>
          <w:lang w:eastAsia="ko-KR"/>
        </w:rPr>
        <w:t xml:space="preserve">, </w:t>
      </w:r>
      <w:r w:rsidR="004358BC">
        <w:rPr>
          <w:lang w:eastAsia="ko-KR"/>
        </w:rPr>
        <w:t xml:space="preserve">and </w:t>
      </w:r>
      <w:r w:rsidR="009C2EE0">
        <w:rPr>
          <w:lang w:eastAsia="ko-KR"/>
        </w:rPr>
        <w:t>it is possible that the target DU could decide to change the initial SCell state from time to time</w:t>
      </w:r>
      <w:r w:rsidR="00613615">
        <w:rPr>
          <w:lang w:eastAsia="ko-KR"/>
        </w:rPr>
        <w:t xml:space="preserve"> depending on the ongoing traffic </w:t>
      </w:r>
      <w:r w:rsidR="008F636A">
        <w:rPr>
          <w:lang w:eastAsia="ko-KR"/>
        </w:rPr>
        <w:t>load</w:t>
      </w:r>
      <w:r w:rsidR="00C04960">
        <w:rPr>
          <w:lang w:eastAsia="ko-KR"/>
        </w:rPr>
        <w:t xml:space="preserve"> </w:t>
      </w:r>
      <w:r w:rsidR="00613615">
        <w:rPr>
          <w:lang w:eastAsia="ko-KR"/>
        </w:rPr>
        <w:t>of the UE</w:t>
      </w:r>
      <w:r w:rsidR="00F8783E">
        <w:rPr>
          <w:lang w:eastAsia="ko-KR"/>
        </w:rPr>
        <w:t xml:space="preserve"> and the traffic load of each SCell</w:t>
      </w:r>
      <w:r w:rsidR="009C2EE0">
        <w:rPr>
          <w:lang w:eastAsia="ko-KR"/>
        </w:rPr>
        <w:t>.</w:t>
      </w:r>
      <w:r w:rsidR="00EE0B34">
        <w:rPr>
          <w:lang w:eastAsia="ko-KR"/>
        </w:rPr>
        <w:t xml:space="preserve"> Thus</w:t>
      </w:r>
      <w:r w:rsidR="00756FF0">
        <w:rPr>
          <w:lang w:eastAsia="ko-KR"/>
        </w:rPr>
        <w:t>,</w:t>
      </w:r>
      <w:r w:rsidR="00EE0B34">
        <w:rPr>
          <w:lang w:eastAsia="ko-KR"/>
        </w:rPr>
        <w:t xml:space="preserve"> we think that the initial SCell state can be controlled by both the RRC configuration and the cell switch MAC CE.</w:t>
      </w:r>
    </w:p>
    <w:p w14:paraId="66DA042B" w14:textId="28A038C0" w:rsidR="00F34B00" w:rsidRPr="00CB0EE1" w:rsidRDefault="00A51AE2" w:rsidP="004A5E23">
      <w:pPr>
        <w:rPr>
          <w:b/>
          <w:bCs/>
          <w:lang w:eastAsia="ko-KR"/>
        </w:rPr>
      </w:pPr>
      <w:r w:rsidRPr="00CB0EE1">
        <w:rPr>
          <w:b/>
          <w:bCs/>
          <w:lang w:eastAsia="ko-KR"/>
        </w:rPr>
        <w:t xml:space="preserve">Proposal 1: </w:t>
      </w:r>
      <w:r w:rsidR="00756FF0" w:rsidRPr="00CB0EE1">
        <w:rPr>
          <w:b/>
          <w:bCs/>
          <w:lang w:eastAsia="ko-KR"/>
        </w:rPr>
        <w:t xml:space="preserve">The initial SCell state can be </w:t>
      </w:r>
      <w:r w:rsidR="00FB4912" w:rsidRPr="00CB0EE1">
        <w:rPr>
          <w:b/>
          <w:bCs/>
          <w:lang w:eastAsia="ko-KR"/>
        </w:rPr>
        <w:t xml:space="preserve">indicated by </w:t>
      </w:r>
      <w:r w:rsidR="00832D0B" w:rsidRPr="00CB0EE1">
        <w:rPr>
          <w:b/>
          <w:bCs/>
          <w:i/>
          <w:iCs/>
        </w:rPr>
        <w:t>sCellState-r16</w:t>
      </w:r>
      <w:r w:rsidR="00832D0B" w:rsidRPr="00CB0EE1">
        <w:rPr>
          <w:b/>
          <w:bCs/>
          <w:lang w:eastAsia="ko-KR"/>
        </w:rPr>
        <w:t xml:space="preserve"> </w:t>
      </w:r>
      <w:r w:rsidR="00FB4912" w:rsidRPr="00CB0EE1">
        <w:rPr>
          <w:b/>
          <w:bCs/>
          <w:lang w:eastAsia="ko-KR"/>
        </w:rPr>
        <w:t xml:space="preserve">or </w:t>
      </w:r>
      <w:r w:rsidR="00756FF0" w:rsidRPr="00CB0EE1">
        <w:rPr>
          <w:b/>
          <w:bCs/>
          <w:lang w:eastAsia="ko-KR"/>
        </w:rPr>
        <w:t>the cell switch MAC CE.</w:t>
      </w:r>
      <w:r w:rsidR="004358BC" w:rsidRPr="00CB0EE1">
        <w:rPr>
          <w:b/>
          <w:bCs/>
          <w:lang w:eastAsia="ko-KR"/>
        </w:rPr>
        <w:t xml:space="preserve"> </w:t>
      </w:r>
    </w:p>
    <w:p w14:paraId="110FB2D9" w14:textId="0B97D68F" w:rsidR="008D5162" w:rsidRDefault="008A38B3" w:rsidP="004A5E23">
      <w:pPr>
        <w:rPr>
          <w:lang w:eastAsia="ko-KR"/>
        </w:rPr>
      </w:pPr>
      <w:r>
        <w:rPr>
          <w:lang w:eastAsia="ko-KR"/>
        </w:rPr>
        <w:t>According to the legacy CFRA procedure of handover, the dedicated PRACH resource is configured via the handover command</w:t>
      </w:r>
      <w:r w:rsidR="00A96483">
        <w:rPr>
          <w:lang w:eastAsia="ko-KR"/>
        </w:rPr>
        <w:t>, and released by the UE autonomously when the RACH to the target cell completes</w:t>
      </w:r>
      <w:r w:rsidR="00EB1B9F">
        <w:rPr>
          <w:lang w:eastAsia="ko-KR"/>
        </w:rPr>
        <w:t xml:space="preserve">. </w:t>
      </w:r>
      <w:r w:rsidR="00EB1B9F">
        <w:rPr>
          <w:rFonts w:hint="eastAsia"/>
        </w:rPr>
        <w:t>T</w:t>
      </w:r>
      <w:r w:rsidR="00EB1B9F">
        <w:t>h</w:t>
      </w:r>
      <w:r w:rsidR="00EB1B9F">
        <w:rPr>
          <w:rFonts w:hint="eastAsia"/>
        </w:rPr>
        <w:t>is</w:t>
      </w:r>
      <w:r w:rsidR="00EB1B9F">
        <w:rPr>
          <w:lang w:eastAsia="ko-KR"/>
        </w:rPr>
        <w:t xml:space="preserve"> </w:t>
      </w:r>
      <w:r w:rsidR="00EB1B9F">
        <w:rPr>
          <w:rFonts w:hint="eastAsia"/>
        </w:rPr>
        <w:t>is</w:t>
      </w:r>
      <w:r w:rsidR="00EB1B9F">
        <w:rPr>
          <w:lang w:eastAsia="ko-KR"/>
        </w:rPr>
        <w:t xml:space="preserve"> to reallocate the CFRA resource for other UEs</w:t>
      </w:r>
      <w:r w:rsidR="008D3A31">
        <w:rPr>
          <w:lang w:eastAsia="ko-KR"/>
        </w:rPr>
        <w:t xml:space="preserve">. </w:t>
      </w:r>
      <w:r w:rsidR="00952C0C">
        <w:rPr>
          <w:lang w:eastAsia="ko-KR"/>
        </w:rPr>
        <w:t>In the LTM procedure,</w:t>
      </w:r>
      <w:r w:rsidR="008D3A31">
        <w:rPr>
          <w:lang w:eastAsia="ko-KR"/>
        </w:rPr>
        <w:t xml:space="preserve"> if the UE keeps the CFRA configuration </w:t>
      </w:r>
      <w:r w:rsidR="00952C0C">
        <w:rPr>
          <w:lang w:eastAsia="ko-KR"/>
        </w:rPr>
        <w:t>for both the initial and the subsequent cell switch, the CFRA resource could be reserved for quite a long tim</w:t>
      </w:r>
      <w:r w:rsidR="002417F3">
        <w:rPr>
          <w:rFonts w:hint="eastAsia"/>
        </w:rPr>
        <w:t>e</w:t>
      </w:r>
      <w:r w:rsidR="002417F3">
        <w:rPr>
          <w:lang w:eastAsia="ko-KR"/>
        </w:rPr>
        <w:t>, which reduces the resource utilization efficiency for the CFRA resource. Thus</w:t>
      </w:r>
      <w:r w:rsidR="0050750F">
        <w:rPr>
          <w:lang w:eastAsia="ko-KR"/>
        </w:rPr>
        <w:t>,</w:t>
      </w:r>
      <w:r w:rsidR="002417F3">
        <w:rPr>
          <w:lang w:eastAsia="ko-KR"/>
        </w:rPr>
        <w:t xml:space="preserve"> we consider that indicating the CFRA resource in cell switch MAC CE can make a better use of the CFRA resource for subsequent LTM procedures without reconfiguration the RACH resource via RRC.</w:t>
      </w:r>
    </w:p>
    <w:p w14:paraId="5B0EE664" w14:textId="25189B9E" w:rsidR="00DE1434" w:rsidRPr="00565C4F" w:rsidRDefault="00DE1434" w:rsidP="004A5E23">
      <w:pPr>
        <w:rPr>
          <w:rFonts w:eastAsia="Malgun Gothic"/>
          <w:b/>
          <w:bCs/>
          <w:lang w:eastAsia="ko-KR"/>
        </w:rPr>
      </w:pPr>
      <w:r w:rsidRPr="00565C4F">
        <w:rPr>
          <w:b/>
          <w:bCs/>
          <w:lang w:eastAsia="ko-KR"/>
        </w:rPr>
        <w:t>Proposal 2: The dedicated PRACH resource can be indicated by the cell switch MAC CE.</w:t>
      </w:r>
    </w:p>
    <w:p w14:paraId="7DEB5BD4" w14:textId="77777777" w:rsidR="008D5162" w:rsidRDefault="008D5162" w:rsidP="004A5E23">
      <w:pPr>
        <w:rPr>
          <w:lang w:eastAsia="ko-KR"/>
        </w:rPr>
      </w:pPr>
    </w:p>
    <w:p w14:paraId="1662BD9E" w14:textId="77777777" w:rsidR="00DA44DE" w:rsidRDefault="00DA44DE" w:rsidP="00DA44DE">
      <w:pPr>
        <w:pStyle w:val="Heading1"/>
        <w:jc w:val="left"/>
      </w:pPr>
      <w:r>
        <w:t>Conclusions</w:t>
      </w:r>
    </w:p>
    <w:p w14:paraId="3E19A263" w14:textId="4C5D2F54" w:rsidR="00A93356" w:rsidRDefault="00E73920" w:rsidP="00D5393F">
      <w:pPr>
        <w:spacing w:afterLines="50" w:line="240" w:lineRule="auto"/>
        <w:jc w:val="left"/>
      </w:pPr>
      <w:r>
        <w:t xml:space="preserve">According to the analysis </w:t>
      </w:r>
      <w:r w:rsidR="005F702D">
        <w:t xml:space="preserve">given </w:t>
      </w:r>
      <w:r w:rsidR="0012503D">
        <w:t>above</w:t>
      </w:r>
      <w:r w:rsidR="00435FBB">
        <w:t>, we have the following proposal</w:t>
      </w:r>
      <w:r w:rsidR="009C1671">
        <w:t>s</w:t>
      </w:r>
      <w:r w:rsidR="00C274D6">
        <w:t>:</w:t>
      </w:r>
    </w:p>
    <w:p w14:paraId="20319352" w14:textId="77777777" w:rsidR="00DE4EFE" w:rsidRPr="00CB0EE1" w:rsidRDefault="00DE4EFE" w:rsidP="00DE4EFE">
      <w:pPr>
        <w:rPr>
          <w:b/>
          <w:bCs/>
          <w:lang w:eastAsia="ko-KR"/>
        </w:rPr>
      </w:pPr>
      <w:r w:rsidRPr="00CB0EE1">
        <w:rPr>
          <w:b/>
          <w:bCs/>
          <w:lang w:eastAsia="ko-KR"/>
        </w:rPr>
        <w:t xml:space="preserve">Proposal 1: The initial SCell state can be indicated by </w:t>
      </w:r>
      <w:r w:rsidRPr="00CB0EE1">
        <w:rPr>
          <w:b/>
          <w:bCs/>
          <w:i/>
          <w:iCs/>
        </w:rPr>
        <w:t>sCellState-r16</w:t>
      </w:r>
      <w:r w:rsidRPr="00CB0EE1">
        <w:rPr>
          <w:b/>
          <w:bCs/>
          <w:lang w:eastAsia="ko-KR"/>
        </w:rPr>
        <w:t xml:space="preserve"> or the cell switch MAC CE. </w:t>
      </w:r>
    </w:p>
    <w:p w14:paraId="50C41159" w14:textId="77777777" w:rsidR="009B1945" w:rsidRPr="00565C4F" w:rsidRDefault="009B1945" w:rsidP="009B1945">
      <w:pPr>
        <w:rPr>
          <w:rFonts w:eastAsia="Malgun Gothic"/>
          <w:b/>
          <w:bCs/>
          <w:lang w:eastAsia="ko-KR"/>
        </w:rPr>
      </w:pPr>
      <w:r w:rsidRPr="00565C4F">
        <w:rPr>
          <w:b/>
          <w:bCs/>
          <w:lang w:eastAsia="ko-KR"/>
        </w:rPr>
        <w:t>Proposal 2: The dedicated PRACH resource can be indicated by the cell switch MAC CE.</w:t>
      </w:r>
    </w:p>
    <w:p w14:paraId="1782283A" w14:textId="77777777" w:rsidR="007136E9" w:rsidRPr="0045115B" w:rsidRDefault="007136E9"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033ACAAE" w14:textId="53E68BF5" w:rsidR="00C45F13" w:rsidRPr="00A908F6" w:rsidRDefault="003E3700" w:rsidP="00A5517D">
      <w:pPr>
        <w:spacing w:afterLines="50" w:line="240" w:lineRule="auto"/>
        <w:jc w:val="left"/>
      </w:pPr>
      <w:r>
        <w:t xml:space="preserve">[1] </w:t>
      </w:r>
      <w:r w:rsidR="00A5517D">
        <w:t>RAN2#121 meeting minutes.</w:t>
      </w:r>
      <w:r w:rsidR="00C45F13">
        <w:t xml:space="preserve"> </w:t>
      </w:r>
    </w:p>
    <w:sectPr w:rsidR="00C45F13"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0F898" w14:textId="77777777" w:rsidR="00830257" w:rsidRDefault="00830257">
      <w:pPr>
        <w:spacing w:after="0" w:line="240" w:lineRule="auto"/>
      </w:pPr>
      <w:r>
        <w:separator/>
      </w:r>
    </w:p>
  </w:endnote>
  <w:endnote w:type="continuationSeparator" w:id="0">
    <w:p w14:paraId="113BF85C" w14:textId="77777777" w:rsidR="00830257" w:rsidRDefault="00830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75438" w14:textId="77777777" w:rsidR="00830257" w:rsidRDefault="00830257">
      <w:pPr>
        <w:spacing w:after="0" w:line="240" w:lineRule="auto"/>
      </w:pPr>
      <w:r>
        <w:separator/>
      </w:r>
    </w:p>
  </w:footnote>
  <w:footnote w:type="continuationSeparator" w:id="0">
    <w:p w14:paraId="357E466F" w14:textId="77777777" w:rsidR="00830257" w:rsidRDefault="008302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934F6"/>
    <w:multiLevelType w:val="hybridMultilevel"/>
    <w:tmpl w:val="DF1E475C"/>
    <w:lvl w:ilvl="0" w:tplc="A2FC35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26D250F"/>
    <w:multiLevelType w:val="hybridMultilevel"/>
    <w:tmpl w:val="E38ABBE2"/>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72C30"/>
    <w:multiLevelType w:val="hybridMultilevel"/>
    <w:tmpl w:val="E9501FCA"/>
    <w:lvl w:ilvl="0" w:tplc="844278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C043F"/>
    <w:multiLevelType w:val="hybridMultilevel"/>
    <w:tmpl w:val="2DB24CCC"/>
    <w:lvl w:ilvl="0" w:tplc="844278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1E76BD"/>
    <w:multiLevelType w:val="hybridMultilevel"/>
    <w:tmpl w:val="13ECADEE"/>
    <w:lvl w:ilvl="0" w:tplc="844278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B47B4F"/>
    <w:multiLevelType w:val="hybridMultilevel"/>
    <w:tmpl w:val="A4249660"/>
    <w:lvl w:ilvl="0" w:tplc="844278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EA555D"/>
    <w:multiLevelType w:val="hybridMultilevel"/>
    <w:tmpl w:val="1A28B964"/>
    <w:lvl w:ilvl="0" w:tplc="844278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446D3"/>
    <w:multiLevelType w:val="hybridMultilevel"/>
    <w:tmpl w:val="B8F4FA78"/>
    <w:lvl w:ilvl="0" w:tplc="6DB063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732F52"/>
    <w:multiLevelType w:val="hybridMultilevel"/>
    <w:tmpl w:val="2CA64678"/>
    <w:lvl w:ilvl="0" w:tplc="A8D441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0"/>
  </w:num>
  <w:num w:numId="4">
    <w:abstractNumId w:val="18"/>
  </w:num>
  <w:num w:numId="5">
    <w:abstractNumId w:val="0"/>
  </w:num>
  <w:num w:numId="6">
    <w:abstractNumId w:val="25"/>
  </w:num>
  <w:num w:numId="7">
    <w:abstractNumId w:val="32"/>
  </w:num>
  <w:num w:numId="8">
    <w:abstractNumId w:val="17"/>
  </w:num>
  <w:num w:numId="9">
    <w:abstractNumId w:val="3"/>
  </w:num>
  <w:num w:numId="10">
    <w:abstractNumId w:val="14"/>
  </w:num>
  <w:num w:numId="11">
    <w:abstractNumId w:val="21"/>
  </w:num>
  <w:num w:numId="12">
    <w:abstractNumId w:val="2"/>
  </w:num>
  <w:num w:numId="13">
    <w:abstractNumId w:val="27"/>
  </w:num>
  <w:num w:numId="14">
    <w:abstractNumId w:val="35"/>
  </w:num>
  <w:num w:numId="15">
    <w:abstractNumId w:val="11"/>
  </w:num>
  <w:num w:numId="16">
    <w:abstractNumId w:val="26"/>
  </w:num>
  <w:num w:numId="17">
    <w:abstractNumId w:val="4"/>
  </w:num>
  <w:num w:numId="18">
    <w:abstractNumId w:val="29"/>
  </w:num>
  <w:num w:numId="19">
    <w:abstractNumId w:val="9"/>
  </w:num>
  <w:num w:numId="20">
    <w:abstractNumId w:val="34"/>
  </w:num>
  <w:num w:numId="21">
    <w:abstractNumId w:val="36"/>
  </w:num>
  <w:num w:numId="22">
    <w:abstractNumId w:val="23"/>
  </w:num>
  <w:num w:numId="23">
    <w:abstractNumId w:val="15"/>
  </w:num>
  <w:num w:numId="24">
    <w:abstractNumId w:val="16"/>
  </w:num>
  <w:num w:numId="25">
    <w:abstractNumId w:val="0"/>
  </w:num>
  <w:num w:numId="26">
    <w:abstractNumId w:val="0"/>
  </w:num>
  <w:num w:numId="27">
    <w:abstractNumId w:val="0"/>
  </w:num>
  <w:num w:numId="28">
    <w:abstractNumId w:val="8"/>
  </w:num>
  <w:num w:numId="29">
    <w:abstractNumId w:val="31"/>
  </w:num>
  <w:num w:numId="30">
    <w:abstractNumId w:val="0"/>
  </w:num>
  <w:num w:numId="31">
    <w:abstractNumId w:val="12"/>
  </w:num>
  <w:num w:numId="32">
    <w:abstractNumId w:val="0"/>
  </w:num>
  <w:num w:numId="33">
    <w:abstractNumId w:val="22"/>
  </w:num>
  <w:num w:numId="34">
    <w:abstractNumId w:val="5"/>
  </w:num>
  <w:num w:numId="35">
    <w:abstractNumId w:val="28"/>
  </w:num>
  <w:num w:numId="36">
    <w:abstractNumId w:val="30"/>
  </w:num>
  <w:num w:numId="37">
    <w:abstractNumId w:val="1"/>
  </w:num>
  <w:num w:numId="38">
    <w:abstractNumId w:val="6"/>
  </w:num>
  <w:num w:numId="39">
    <w:abstractNumId w:val="24"/>
  </w:num>
  <w:num w:numId="40">
    <w:abstractNumId w:val="7"/>
  </w:num>
  <w:num w:numId="41">
    <w:abstractNumId w:val="19"/>
  </w:num>
  <w:num w:numId="42">
    <w:abstractNumId w:val="33"/>
  </w:num>
  <w:num w:numId="4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3B"/>
    <w:rsid w:val="00003349"/>
    <w:rsid w:val="00003395"/>
    <w:rsid w:val="00003538"/>
    <w:rsid w:val="00003C45"/>
    <w:rsid w:val="00004180"/>
    <w:rsid w:val="000044EF"/>
    <w:rsid w:val="000049B3"/>
    <w:rsid w:val="00004B1D"/>
    <w:rsid w:val="00004B70"/>
    <w:rsid w:val="00004BD8"/>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2"/>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623"/>
    <w:rsid w:val="00033817"/>
    <w:rsid w:val="0003389F"/>
    <w:rsid w:val="0003395F"/>
    <w:rsid w:val="00033F4E"/>
    <w:rsid w:val="00034109"/>
    <w:rsid w:val="00034515"/>
    <w:rsid w:val="000349A1"/>
    <w:rsid w:val="00034E62"/>
    <w:rsid w:val="00035022"/>
    <w:rsid w:val="00035202"/>
    <w:rsid w:val="000353DD"/>
    <w:rsid w:val="000355E6"/>
    <w:rsid w:val="0003607F"/>
    <w:rsid w:val="00036256"/>
    <w:rsid w:val="0003642B"/>
    <w:rsid w:val="000365A6"/>
    <w:rsid w:val="00036CB0"/>
    <w:rsid w:val="0003728A"/>
    <w:rsid w:val="0003789E"/>
    <w:rsid w:val="00037A7B"/>
    <w:rsid w:val="00037C40"/>
    <w:rsid w:val="00037FC9"/>
    <w:rsid w:val="00037FCD"/>
    <w:rsid w:val="00040020"/>
    <w:rsid w:val="00040248"/>
    <w:rsid w:val="00040566"/>
    <w:rsid w:val="00040648"/>
    <w:rsid w:val="00040978"/>
    <w:rsid w:val="000409BE"/>
    <w:rsid w:val="00040AEB"/>
    <w:rsid w:val="00041666"/>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50FB"/>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BB6"/>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2806"/>
    <w:rsid w:val="00093179"/>
    <w:rsid w:val="00093B7E"/>
    <w:rsid w:val="00093E4B"/>
    <w:rsid w:val="00093EA6"/>
    <w:rsid w:val="0009405F"/>
    <w:rsid w:val="00094B82"/>
    <w:rsid w:val="000951A9"/>
    <w:rsid w:val="000957C0"/>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5E5"/>
    <w:rsid w:val="000A264C"/>
    <w:rsid w:val="000A2754"/>
    <w:rsid w:val="000A283A"/>
    <w:rsid w:val="000A2AA2"/>
    <w:rsid w:val="000A34DB"/>
    <w:rsid w:val="000A35A3"/>
    <w:rsid w:val="000A367D"/>
    <w:rsid w:val="000A3746"/>
    <w:rsid w:val="000A3A12"/>
    <w:rsid w:val="000A42C3"/>
    <w:rsid w:val="000A433C"/>
    <w:rsid w:val="000A4364"/>
    <w:rsid w:val="000A4393"/>
    <w:rsid w:val="000A46A7"/>
    <w:rsid w:val="000A475D"/>
    <w:rsid w:val="000A48F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02"/>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4E6F"/>
    <w:rsid w:val="000C55A9"/>
    <w:rsid w:val="000C55E7"/>
    <w:rsid w:val="000C5D2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CDA"/>
    <w:rsid w:val="000D0CE3"/>
    <w:rsid w:val="000D0D9A"/>
    <w:rsid w:val="000D0F1D"/>
    <w:rsid w:val="000D0FAA"/>
    <w:rsid w:val="000D12C2"/>
    <w:rsid w:val="000D17E5"/>
    <w:rsid w:val="000D181D"/>
    <w:rsid w:val="000D1AE8"/>
    <w:rsid w:val="000D1D72"/>
    <w:rsid w:val="000D2006"/>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DF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B7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EA9"/>
    <w:rsid w:val="000F1473"/>
    <w:rsid w:val="000F17B3"/>
    <w:rsid w:val="000F1E2D"/>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3EEF"/>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86F"/>
    <w:rsid w:val="00115BDD"/>
    <w:rsid w:val="00115EBC"/>
    <w:rsid w:val="00115EFD"/>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102"/>
    <w:rsid w:val="001223EE"/>
    <w:rsid w:val="001229AD"/>
    <w:rsid w:val="00122B5F"/>
    <w:rsid w:val="00122CA5"/>
    <w:rsid w:val="00122FB3"/>
    <w:rsid w:val="0012344B"/>
    <w:rsid w:val="0012375F"/>
    <w:rsid w:val="001237D1"/>
    <w:rsid w:val="00123AB1"/>
    <w:rsid w:val="00123ABE"/>
    <w:rsid w:val="00123D1A"/>
    <w:rsid w:val="001241B0"/>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2CEE"/>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7D9"/>
    <w:rsid w:val="0015088C"/>
    <w:rsid w:val="001510F0"/>
    <w:rsid w:val="001513D6"/>
    <w:rsid w:val="00151778"/>
    <w:rsid w:val="00151A97"/>
    <w:rsid w:val="00152023"/>
    <w:rsid w:val="001524F0"/>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97"/>
    <w:rsid w:val="001639E1"/>
    <w:rsid w:val="00163C0C"/>
    <w:rsid w:val="00163F19"/>
    <w:rsid w:val="0016485A"/>
    <w:rsid w:val="00164940"/>
    <w:rsid w:val="00164B98"/>
    <w:rsid w:val="00164CEC"/>
    <w:rsid w:val="00164F05"/>
    <w:rsid w:val="001650DE"/>
    <w:rsid w:val="0016511C"/>
    <w:rsid w:val="00165241"/>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C8A"/>
    <w:rsid w:val="00176D56"/>
    <w:rsid w:val="00176DC8"/>
    <w:rsid w:val="00176F50"/>
    <w:rsid w:val="00177019"/>
    <w:rsid w:val="00177157"/>
    <w:rsid w:val="00177737"/>
    <w:rsid w:val="00177926"/>
    <w:rsid w:val="00180DB8"/>
    <w:rsid w:val="00181089"/>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13"/>
    <w:rsid w:val="001918DE"/>
    <w:rsid w:val="00191B05"/>
    <w:rsid w:val="00191C40"/>
    <w:rsid w:val="00191D92"/>
    <w:rsid w:val="00191E1F"/>
    <w:rsid w:val="00192049"/>
    <w:rsid w:val="001923AE"/>
    <w:rsid w:val="0019243B"/>
    <w:rsid w:val="001926CD"/>
    <w:rsid w:val="001927A6"/>
    <w:rsid w:val="00192E9D"/>
    <w:rsid w:val="001932A4"/>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3DA3"/>
    <w:rsid w:val="001B406A"/>
    <w:rsid w:val="001B409E"/>
    <w:rsid w:val="001B41F5"/>
    <w:rsid w:val="001B4684"/>
    <w:rsid w:val="001B4B1D"/>
    <w:rsid w:val="001B4B7C"/>
    <w:rsid w:val="001B500F"/>
    <w:rsid w:val="001B5220"/>
    <w:rsid w:val="001B56F6"/>
    <w:rsid w:val="001B587F"/>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F15"/>
    <w:rsid w:val="001D1389"/>
    <w:rsid w:val="001D1427"/>
    <w:rsid w:val="001D1448"/>
    <w:rsid w:val="001D1A3C"/>
    <w:rsid w:val="001D1AF9"/>
    <w:rsid w:val="001D1C17"/>
    <w:rsid w:val="001D27DD"/>
    <w:rsid w:val="001D2985"/>
    <w:rsid w:val="001D299B"/>
    <w:rsid w:val="001D2C22"/>
    <w:rsid w:val="001D2C6A"/>
    <w:rsid w:val="001D2D3D"/>
    <w:rsid w:val="001D32ED"/>
    <w:rsid w:val="001D3390"/>
    <w:rsid w:val="001D33DB"/>
    <w:rsid w:val="001D379E"/>
    <w:rsid w:val="001D393B"/>
    <w:rsid w:val="001D397C"/>
    <w:rsid w:val="001D3F46"/>
    <w:rsid w:val="001D3F92"/>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512C"/>
    <w:rsid w:val="002151BF"/>
    <w:rsid w:val="00215C6F"/>
    <w:rsid w:val="00215D47"/>
    <w:rsid w:val="00216119"/>
    <w:rsid w:val="002167C5"/>
    <w:rsid w:val="00216839"/>
    <w:rsid w:val="00216CF8"/>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E6C"/>
    <w:rsid w:val="00235F80"/>
    <w:rsid w:val="002364FD"/>
    <w:rsid w:val="002367C7"/>
    <w:rsid w:val="00236B24"/>
    <w:rsid w:val="00236D0E"/>
    <w:rsid w:val="00236E91"/>
    <w:rsid w:val="002371EA"/>
    <w:rsid w:val="00237942"/>
    <w:rsid w:val="00237AF3"/>
    <w:rsid w:val="0024097C"/>
    <w:rsid w:val="00240FE3"/>
    <w:rsid w:val="002413B5"/>
    <w:rsid w:val="002415D1"/>
    <w:rsid w:val="002417F3"/>
    <w:rsid w:val="00242110"/>
    <w:rsid w:val="00242292"/>
    <w:rsid w:val="0024237E"/>
    <w:rsid w:val="00242531"/>
    <w:rsid w:val="0024265C"/>
    <w:rsid w:val="002426F0"/>
    <w:rsid w:val="002428FF"/>
    <w:rsid w:val="00242912"/>
    <w:rsid w:val="00242A8B"/>
    <w:rsid w:val="00242C01"/>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61BC"/>
    <w:rsid w:val="0024714F"/>
    <w:rsid w:val="002478D4"/>
    <w:rsid w:val="002479A5"/>
    <w:rsid w:val="00247AE8"/>
    <w:rsid w:val="00250272"/>
    <w:rsid w:val="002508C8"/>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7BE"/>
    <w:rsid w:val="00255D4E"/>
    <w:rsid w:val="00256205"/>
    <w:rsid w:val="00256355"/>
    <w:rsid w:val="00256898"/>
    <w:rsid w:val="0025692D"/>
    <w:rsid w:val="00256ADD"/>
    <w:rsid w:val="00257343"/>
    <w:rsid w:val="0025734B"/>
    <w:rsid w:val="002573D3"/>
    <w:rsid w:val="00257B8E"/>
    <w:rsid w:val="00257C34"/>
    <w:rsid w:val="00257C62"/>
    <w:rsid w:val="00257C94"/>
    <w:rsid w:val="00257FC6"/>
    <w:rsid w:val="00260063"/>
    <w:rsid w:val="00260155"/>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4D6"/>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6E7"/>
    <w:rsid w:val="002767A6"/>
    <w:rsid w:val="0027686E"/>
    <w:rsid w:val="00276F21"/>
    <w:rsid w:val="0027762B"/>
    <w:rsid w:val="0027781C"/>
    <w:rsid w:val="00277855"/>
    <w:rsid w:val="00277ECB"/>
    <w:rsid w:val="0028015E"/>
    <w:rsid w:val="002807C7"/>
    <w:rsid w:val="00280A0B"/>
    <w:rsid w:val="00280B9D"/>
    <w:rsid w:val="00280F57"/>
    <w:rsid w:val="00281280"/>
    <w:rsid w:val="0028153B"/>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3F2"/>
    <w:rsid w:val="002A5462"/>
    <w:rsid w:val="002A5898"/>
    <w:rsid w:val="002A5A9C"/>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E69"/>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0CF"/>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4D93"/>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333"/>
    <w:rsid w:val="002E68C4"/>
    <w:rsid w:val="002E69B2"/>
    <w:rsid w:val="002E6B56"/>
    <w:rsid w:val="002E6BA8"/>
    <w:rsid w:val="002E6E84"/>
    <w:rsid w:val="002E7130"/>
    <w:rsid w:val="002E79B2"/>
    <w:rsid w:val="002E7A2B"/>
    <w:rsid w:val="002E7B1C"/>
    <w:rsid w:val="002E7C93"/>
    <w:rsid w:val="002E7D0A"/>
    <w:rsid w:val="002E7DA0"/>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1DDE"/>
    <w:rsid w:val="0030211D"/>
    <w:rsid w:val="00302338"/>
    <w:rsid w:val="00302421"/>
    <w:rsid w:val="00302940"/>
    <w:rsid w:val="00302945"/>
    <w:rsid w:val="003029AA"/>
    <w:rsid w:val="00302DFB"/>
    <w:rsid w:val="00303823"/>
    <w:rsid w:val="00303970"/>
    <w:rsid w:val="003039AF"/>
    <w:rsid w:val="00303EF5"/>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490"/>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4BC5"/>
    <w:rsid w:val="00355AD1"/>
    <w:rsid w:val="00355C2C"/>
    <w:rsid w:val="00356043"/>
    <w:rsid w:val="003562C2"/>
    <w:rsid w:val="003564AF"/>
    <w:rsid w:val="00356566"/>
    <w:rsid w:val="00356D53"/>
    <w:rsid w:val="00356E2F"/>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A1B"/>
    <w:rsid w:val="00364C63"/>
    <w:rsid w:val="00364C99"/>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1AA"/>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0FE"/>
    <w:rsid w:val="003A44C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A19"/>
    <w:rsid w:val="003B2D97"/>
    <w:rsid w:val="003B2E6E"/>
    <w:rsid w:val="003B35B7"/>
    <w:rsid w:val="003B37C2"/>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57A"/>
    <w:rsid w:val="003C18B4"/>
    <w:rsid w:val="003C198E"/>
    <w:rsid w:val="003C2106"/>
    <w:rsid w:val="003C2321"/>
    <w:rsid w:val="003C2328"/>
    <w:rsid w:val="003C25A0"/>
    <w:rsid w:val="003C2650"/>
    <w:rsid w:val="003C2798"/>
    <w:rsid w:val="003C29AC"/>
    <w:rsid w:val="003C2E36"/>
    <w:rsid w:val="003C2F64"/>
    <w:rsid w:val="003C3015"/>
    <w:rsid w:val="003C38DF"/>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773"/>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34C"/>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995"/>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5DC"/>
    <w:rsid w:val="003E4A2D"/>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9CB"/>
    <w:rsid w:val="003F5AA9"/>
    <w:rsid w:val="003F6056"/>
    <w:rsid w:val="003F6447"/>
    <w:rsid w:val="003F66BA"/>
    <w:rsid w:val="003F69EA"/>
    <w:rsid w:val="003F6CB8"/>
    <w:rsid w:val="003F6F2F"/>
    <w:rsid w:val="003F753A"/>
    <w:rsid w:val="003F7726"/>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5AFA"/>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0DE"/>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6B2"/>
    <w:rsid w:val="00427703"/>
    <w:rsid w:val="00427848"/>
    <w:rsid w:val="004278F3"/>
    <w:rsid w:val="00427A71"/>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8BC"/>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25"/>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1DE0"/>
    <w:rsid w:val="004524EF"/>
    <w:rsid w:val="004528CD"/>
    <w:rsid w:val="00452DE2"/>
    <w:rsid w:val="004531FA"/>
    <w:rsid w:val="0045345A"/>
    <w:rsid w:val="0045359E"/>
    <w:rsid w:val="00453DF0"/>
    <w:rsid w:val="00454558"/>
    <w:rsid w:val="004545FB"/>
    <w:rsid w:val="0045465A"/>
    <w:rsid w:val="0045494A"/>
    <w:rsid w:val="00454C3D"/>
    <w:rsid w:val="00454CCE"/>
    <w:rsid w:val="00454CE1"/>
    <w:rsid w:val="00454E17"/>
    <w:rsid w:val="0045543D"/>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75"/>
    <w:rsid w:val="00464F8B"/>
    <w:rsid w:val="0046506F"/>
    <w:rsid w:val="004650A8"/>
    <w:rsid w:val="004650CB"/>
    <w:rsid w:val="00465227"/>
    <w:rsid w:val="00465834"/>
    <w:rsid w:val="00465E7B"/>
    <w:rsid w:val="004661C2"/>
    <w:rsid w:val="00466615"/>
    <w:rsid w:val="00466681"/>
    <w:rsid w:val="004666FD"/>
    <w:rsid w:val="004667D7"/>
    <w:rsid w:val="00466F44"/>
    <w:rsid w:val="00467158"/>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5C9"/>
    <w:rsid w:val="004729DE"/>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9CF"/>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37"/>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9FC"/>
    <w:rsid w:val="00494DF2"/>
    <w:rsid w:val="00495283"/>
    <w:rsid w:val="004954D9"/>
    <w:rsid w:val="004954DD"/>
    <w:rsid w:val="004954E5"/>
    <w:rsid w:val="004956ED"/>
    <w:rsid w:val="00495983"/>
    <w:rsid w:val="0049663C"/>
    <w:rsid w:val="00496C88"/>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DD3"/>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6C61"/>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0EE"/>
    <w:rsid w:val="004C135A"/>
    <w:rsid w:val="004C1433"/>
    <w:rsid w:val="004C15F8"/>
    <w:rsid w:val="004C1678"/>
    <w:rsid w:val="004C1B7D"/>
    <w:rsid w:val="004C1DBC"/>
    <w:rsid w:val="004C1EB3"/>
    <w:rsid w:val="004C23BC"/>
    <w:rsid w:val="004C23F4"/>
    <w:rsid w:val="004C27F5"/>
    <w:rsid w:val="004C314D"/>
    <w:rsid w:val="004C3163"/>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682"/>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A7A"/>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A82"/>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50F"/>
    <w:rsid w:val="00507999"/>
    <w:rsid w:val="00507DA9"/>
    <w:rsid w:val="00507DBA"/>
    <w:rsid w:val="00507E33"/>
    <w:rsid w:val="00507FD2"/>
    <w:rsid w:val="0051057E"/>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70E"/>
    <w:rsid w:val="00522A4C"/>
    <w:rsid w:val="00522B4F"/>
    <w:rsid w:val="00522B88"/>
    <w:rsid w:val="00523073"/>
    <w:rsid w:val="00523097"/>
    <w:rsid w:val="005230A0"/>
    <w:rsid w:val="00523B32"/>
    <w:rsid w:val="00523E10"/>
    <w:rsid w:val="00524410"/>
    <w:rsid w:val="0052450D"/>
    <w:rsid w:val="00524698"/>
    <w:rsid w:val="0052472F"/>
    <w:rsid w:val="00524FC0"/>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AD"/>
    <w:rsid w:val="00536CE2"/>
    <w:rsid w:val="00536ECC"/>
    <w:rsid w:val="0053712F"/>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5C4F"/>
    <w:rsid w:val="005664F9"/>
    <w:rsid w:val="005666E7"/>
    <w:rsid w:val="0056674B"/>
    <w:rsid w:val="005667C3"/>
    <w:rsid w:val="005669CE"/>
    <w:rsid w:val="005669FB"/>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CA9"/>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8A9"/>
    <w:rsid w:val="00586B60"/>
    <w:rsid w:val="00586D2F"/>
    <w:rsid w:val="00587372"/>
    <w:rsid w:val="0058780F"/>
    <w:rsid w:val="00587BC0"/>
    <w:rsid w:val="00587DBD"/>
    <w:rsid w:val="00587F19"/>
    <w:rsid w:val="0059039C"/>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78E"/>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87"/>
    <w:rsid w:val="005A4398"/>
    <w:rsid w:val="005A4774"/>
    <w:rsid w:val="005A4797"/>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467"/>
    <w:rsid w:val="005B064C"/>
    <w:rsid w:val="005B07A5"/>
    <w:rsid w:val="005B093C"/>
    <w:rsid w:val="005B0A72"/>
    <w:rsid w:val="005B0AA6"/>
    <w:rsid w:val="005B0C8C"/>
    <w:rsid w:val="005B0E4D"/>
    <w:rsid w:val="005B10E0"/>
    <w:rsid w:val="005B13E6"/>
    <w:rsid w:val="005B190C"/>
    <w:rsid w:val="005B19B2"/>
    <w:rsid w:val="005B2A87"/>
    <w:rsid w:val="005B2E06"/>
    <w:rsid w:val="005B2E6A"/>
    <w:rsid w:val="005B35ED"/>
    <w:rsid w:val="005B3707"/>
    <w:rsid w:val="005B3941"/>
    <w:rsid w:val="005B3D0A"/>
    <w:rsid w:val="005B421A"/>
    <w:rsid w:val="005B4B1F"/>
    <w:rsid w:val="005B4D06"/>
    <w:rsid w:val="005B4D3E"/>
    <w:rsid w:val="005B4F48"/>
    <w:rsid w:val="005B587D"/>
    <w:rsid w:val="005B5DDD"/>
    <w:rsid w:val="005B63D4"/>
    <w:rsid w:val="005B6455"/>
    <w:rsid w:val="005B6471"/>
    <w:rsid w:val="005B6602"/>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1F42"/>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52A"/>
    <w:rsid w:val="005D6B6E"/>
    <w:rsid w:val="005D6D32"/>
    <w:rsid w:val="005D708F"/>
    <w:rsid w:val="005D7513"/>
    <w:rsid w:val="005D7968"/>
    <w:rsid w:val="005D7A4C"/>
    <w:rsid w:val="005D7AD9"/>
    <w:rsid w:val="005E091B"/>
    <w:rsid w:val="005E10AB"/>
    <w:rsid w:val="005E1156"/>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19F"/>
    <w:rsid w:val="005E73D4"/>
    <w:rsid w:val="005E7600"/>
    <w:rsid w:val="005E7914"/>
    <w:rsid w:val="005E7B63"/>
    <w:rsid w:val="005E7C78"/>
    <w:rsid w:val="005E7CF2"/>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C76"/>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30EA"/>
    <w:rsid w:val="00603230"/>
    <w:rsid w:val="0060350B"/>
    <w:rsid w:val="00603B11"/>
    <w:rsid w:val="00603D10"/>
    <w:rsid w:val="00603DDD"/>
    <w:rsid w:val="00603EEF"/>
    <w:rsid w:val="006043B2"/>
    <w:rsid w:val="006045A6"/>
    <w:rsid w:val="006045D9"/>
    <w:rsid w:val="00604818"/>
    <w:rsid w:val="006049EC"/>
    <w:rsid w:val="00605555"/>
    <w:rsid w:val="0060571A"/>
    <w:rsid w:val="006058A6"/>
    <w:rsid w:val="006059C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1E34"/>
    <w:rsid w:val="006121A9"/>
    <w:rsid w:val="00612517"/>
    <w:rsid w:val="00612649"/>
    <w:rsid w:val="0061268F"/>
    <w:rsid w:val="006127F3"/>
    <w:rsid w:val="00612917"/>
    <w:rsid w:val="006129E1"/>
    <w:rsid w:val="00612F39"/>
    <w:rsid w:val="00613161"/>
    <w:rsid w:val="0061323C"/>
    <w:rsid w:val="00613615"/>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0C"/>
    <w:rsid w:val="0061607B"/>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3CE3"/>
    <w:rsid w:val="00623F4B"/>
    <w:rsid w:val="006242B7"/>
    <w:rsid w:val="006244D5"/>
    <w:rsid w:val="00624735"/>
    <w:rsid w:val="00624C4B"/>
    <w:rsid w:val="00625B1E"/>
    <w:rsid w:val="00626459"/>
    <w:rsid w:val="0062655D"/>
    <w:rsid w:val="006267B7"/>
    <w:rsid w:val="00626C72"/>
    <w:rsid w:val="00626DD0"/>
    <w:rsid w:val="006271E9"/>
    <w:rsid w:val="006272CE"/>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1FC"/>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7F2"/>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BA"/>
    <w:rsid w:val="006447E0"/>
    <w:rsid w:val="00644981"/>
    <w:rsid w:val="00644B5E"/>
    <w:rsid w:val="00644EFD"/>
    <w:rsid w:val="006456DF"/>
    <w:rsid w:val="006458F7"/>
    <w:rsid w:val="00645C18"/>
    <w:rsid w:val="0064629B"/>
    <w:rsid w:val="00646303"/>
    <w:rsid w:val="006467FD"/>
    <w:rsid w:val="006468C4"/>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174"/>
    <w:rsid w:val="0066488A"/>
    <w:rsid w:val="00664B79"/>
    <w:rsid w:val="00664E33"/>
    <w:rsid w:val="0066507F"/>
    <w:rsid w:val="006650AB"/>
    <w:rsid w:val="006653D7"/>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988"/>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B3"/>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9B6"/>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BD5"/>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89B"/>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A89"/>
    <w:rsid w:val="006B1D80"/>
    <w:rsid w:val="006B1E7A"/>
    <w:rsid w:val="006B1EAD"/>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BD7"/>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39C"/>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23"/>
    <w:rsid w:val="006D2383"/>
    <w:rsid w:val="006D24BC"/>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9AC"/>
    <w:rsid w:val="006D5C71"/>
    <w:rsid w:val="006D5EF6"/>
    <w:rsid w:val="006D674D"/>
    <w:rsid w:val="006D6AA0"/>
    <w:rsid w:val="006D6B75"/>
    <w:rsid w:val="006D6C12"/>
    <w:rsid w:val="006D722B"/>
    <w:rsid w:val="006D72A1"/>
    <w:rsid w:val="006D738C"/>
    <w:rsid w:val="006D7750"/>
    <w:rsid w:val="006D7A89"/>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52"/>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9D"/>
    <w:rsid w:val="006F0DBC"/>
    <w:rsid w:val="006F0ED6"/>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13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79F"/>
    <w:rsid w:val="00702C6D"/>
    <w:rsid w:val="00703220"/>
    <w:rsid w:val="00703483"/>
    <w:rsid w:val="0070382B"/>
    <w:rsid w:val="00703D91"/>
    <w:rsid w:val="00703FAF"/>
    <w:rsid w:val="007041F0"/>
    <w:rsid w:val="007043E8"/>
    <w:rsid w:val="007043F9"/>
    <w:rsid w:val="007046CA"/>
    <w:rsid w:val="007052B0"/>
    <w:rsid w:val="007053BE"/>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6E9"/>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595"/>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3A2"/>
    <w:rsid w:val="00727872"/>
    <w:rsid w:val="007279D2"/>
    <w:rsid w:val="00727B33"/>
    <w:rsid w:val="00727BDA"/>
    <w:rsid w:val="00730030"/>
    <w:rsid w:val="00730961"/>
    <w:rsid w:val="0073097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2EE4"/>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6FF0"/>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804"/>
    <w:rsid w:val="007619DC"/>
    <w:rsid w:val="00761ABC"/>
    <w:rsid w:val="00761B71"/>
    <w:rsid w:val="00761D20"/>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0A3"/>
    <w:rsid w:val="00775236"/>
    <w:rsid w:val="0077577F"/>
    <w:rsid w:val="007759A8"/>
    <w:rsid w:val="00775EAC"/>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35E7"/>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1FC"/>
    <w:rsid w:val="00792381"/>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16C"/>
    <w:rsid w:val="007A590A"/>
    <w:rsid w:val="007A5A6F"/>
    <w:rsid w:val="007A5BB0"/>
    <w:rsid w:val="007A5D61"/>
    <w:rsid w:val="007A632A"/>
    <w:rsid w:val="007A6511"/>
    <w:rsid w:val="007A65DA"/>
    <w:rsid w:val="007A66CF"/>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88"/>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7DC"/>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EFC"/>
    <w:rsid w:val="007D46EE"/>
    <w:rsid w:val="007D470C"/>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87C"/>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037"/>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25A"/>
    <w:rsid w:val="008154A0"/>
    <w:rsid w:val="0081550C"/>
    <w:rsid w:val="008155F8"/>
    <w:rsid w:val="0081567B"/>
    <w:rsid w:val="00815842"/>
    <w:rsid w:val="008162AE"/>
    <w:rsid w:val="0081692D"/>
    <w:rsid w:val="008169D1"/>
    <w:rsid w:val="00816CD3"/>
    <w:rsid w:val="00816DBB"/>
    <w:rsid w:val="00816FB8"/>
    <w:rsid w:val="008170C5"/>
    <w:rsid w:val="008171FD"/>
    <w:rsid w:val="0081727A"/>
    <w:rsid w:val="00817520"/>
    <w:rsid w:val="00817546"/>
    <w:rsid w:val="00817918"/>
    <w:rsid w:val="00817B4C"/>
    <w:rsid w:val="00820004"/>
    <w:rsid w:val="00820422"/>
    <w:rsid w:val="00820466"/>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57"/>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41"/>
    <w:rsid w:val="00832988"/>
    <w:rsid w:val="00832B33"/>
    <w:rsid w:val="00832B9F"/>
    <w:rsid w:val="00832D0B"/>
    <w:rsid w:val="00832EA2"/>
    <w:rsid w:val="00833001"/>
    <w:rsid w:val="0083300F"/>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885"/>
    <w:rsid w:val="00837D90"/>
    <w:rsid w:val="00837F74"/>
    <w:rsid w:val="00840093"/>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424D"/>
    <w:rsid w:val="00844311"/>
    <w:rsid w:val="00844B1C"/>
    <w:rsid w:val="00844BEF"/>
    <w:rsid w:val="00844DB8"/>
    <w:rsid w:val="00844E7D"/>
    <w:rsid w:val="008457B2"/>
    <w:rsid w:val="0084605E"/>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1CA"/>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9E4"/>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7D4"/>
    <w:rsid w:val="00867B14"/>
    <w:rsid w:val="00867B80"/>
    <w:rsid w:val="00867FD9"/>
    <w:rsid w:val="008701BA"/>
    <w:rsid w:val="00870698"/>
    <w:rsid w:val="00870BAB"/>
    <w:rsid w:val="00870EF5"/>
    <w:rsid w:val="00871292"/>
    <w:rsid w:val="008713A7"/>
    <w:rsid w:val="0087175A"/>
    <w:rsid w:val="0087196D"/>
    <w:rsid w:val="00871ACE"/>
    <w:rsid w:val="00871B39"/>
    <w:rsid w:val="008720D2"/>
    <w:rsid w:val="0087210E"/>
    <w:rsid w:val="0087212E"/>
    <w:rsid w:val="008725A6"/>
    <w:rsid w:val="008725B4"/>
    <w:rsid w:val="00872708"/>
    <w:rsid w:val="00872A46"/>
    <w:rsid w:val="00872D57"/>
    <w:rsid w:val="0087319F"/>
    <w:rsid w:val="00873C50"/>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C13"/>
    <w:rsid w:val="00882D24"/>
    <w:rsid w:val="00882F34"/>
    <w:rsid w:val="0088339F"/>
    <w:rsid w:val="008834F9"/>
    <w:rsid w:val="0088381F"/>
    <w:rsid w:val="00883BF9"/>
    <w:rsid w:val="00883C57"/>
    <w:rsid w:val="00883E0B"/>
    <w:rsid w:val="00883E94"/>
    <w:rsid w:val="0088408A"/>
    <w:rsid w:val="008843E9"/>
    <w:rsid w:val="0088450A"/>
    <w:rsid w:val="0088455A"/>
    <w:rsid w:val="008845D2"/>
    <w:rsid w:val="00884950"/>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19"/>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19E"/>
    <w:rsid w:val="008A3625"/>
    <w:rsid w:val="008A370B"/>
    <w:rsid w:val="008A38B3"/>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AEC"/>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201"/>
    <w:rsid w:val="008B664E"/>
    <w:rsid w:val="008B6698"/>
    <w:rsid w:val="008B6982"/>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EAE"/>
    <w:rsid w:val="008D204F"/>
    <w:rsid w:val="008D270C"/>
    <w:rsid w:val="008D272F"/>
    <w:rsid w:val="008D2A16"/>
    <w:rsid w:val="008D3615"/>
    <w:rsid w:val="008D37D1"/>
    <w:rsid w:val="008D3A31"/>
    <w:rsid w:val="008D3D0A"/>
    <w:rsid w:val="008D3EEC"/>
    <w:rsid w:val="008D3F66"/>
    <w:rsid w:val="008D4479"/>
    <w:rsid w:val="008D44AE"/>
    <w:rsid w:val="008D4794"/>
    <w:rsid w:val="008D4A5D"/>
    <w:rsid w:val="008D4DB2"/>
    <w:rsid w:val="008D516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832"/>
    <w:rsid w:val="008E2EBE"/>
    <w:rsid w:val="008E3219"/>
    <w:rsid w:val="008E3227"/>
    <w:rsid w:val="008E347E"/>
    <w:rsid w:val="008E3550"/>
    <w:rsid w:val="008E36F6"/>
    <w:rsid w:val="008E39C5"/>
    <w:rsid w:val="008E3A1A"/>
    <w:rsid w:val="008E3F49"/>
    <w:rsid w:val="008E424A"/>
    <w:rsid w:val="008E43BE"/>
    <w:rsid w:val="008E43E3"/>
    <w:rsid w:val="008E4575"/>
    <w:rsid w:val="008E4735"/>
    <w:rsid w:val="008E5626"/>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36A"/>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87D"/>
    <w:rsid w:val="00900ADF"/>
    <w:rsid w:val="00900C91"/>
    <w:rsid w:val="00901228"/>
    <w:rsid w:val="0090137D"/>
    <w:rsid w:val="0090169B"/>
    <w:rsid w:val="0090172E"/>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3"/>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243"/>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A8"/>
    <w:rsid w:val="00924104"/>
    <w:rsid w:val="009244DB"/>
    <w:rsid w:val="0092459C"/>
    <w:rsid w:val="00924680"/>
    <w:rsid w:val="009249F9"/>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04"/>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21DB"/>
    <w:rsid w:val="00952346"/>
    <w:rsid w:val="00952463"/>
    <w:rsid w:val="009524CC"/>
    <w:rsid w:val="009529F4"/>
    <w:rsid w:val="00952C0C"/>
    <w:rsid w:val="00952EC0"/>
    <w:rsid w:val="00953536"/>
    <w:rsid w:val="00953891"/>
    <w:rsid w:val="009539B8"/>
    <w:rsid w:val="00953B89"/>
    <w:rsid w:val="00953EDC"/>
    <w:rsid w:val="00954615"/>
    <w:rsid w:val="009547A0"/>
    <w:rsid w:val="009550F9"/>
    <w:rsid w:val="009551B3"/>
    <w:rsid w:val="009555EC"/>
    <w:rsid w:val="009556AB"/>
    <w:rsid w:val="0095633D"/>
    <w:rsid w:val="00956DE7"/>
    <w:rsid w:val="00956E50"/>
    <w:rsid w:val="0095704B"/>
    <w:rsid w:val="00957099"/>
    <w:rsid w:val="00957AA8"/>
    <w:rsid w:val="009600A2"/>
    <w:rsid w:val="009603DA"/>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67FE8"/>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B6B"/>
    <w:rsid w:val="00974E69"/>
    <w:rsid w:val="0097508C"/>
    <w:rsid w:val="0097553D"/>
    <w:rsid w:val="00975925"/>
    <w:rsid w:val="00975B51"/>
    <w:rsid w:val="00975BB2"/>
    <w:rsid w:val="00976108"/>
    <w:rsid w:val="0097662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2C3"/>
    <w:rsid w:val="009823A4"/>
    <w:rsid w:val="00982843"/>
    <w:rsid w:val="00982CFD"/>
    <w:rsid w:val="00982D0B"/>
    <w:rsid w:val="0098345F"/>
    <w:rsid w:val="0098396A"/>
    <w:rsid w:val="00983AA4"/>
    <w:rsid w:val="00983B10"/>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692"/>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5E9"/>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21B"/>
    <w:rsid w:val="009A5577"/>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945"/>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19B"/>
    <w:rsid w:val="009C0347"/>
    <w:rsid w:val="009C03AF"/>
    <w:rsid w:val="009C03F5"/>
    <w:rsid w:val="009C0559"/>
    <w:rsid w:val="009C082F"/>
    <w:rsid w:val="009C0C06"/>
    <w:rsid w:val="009C0E11"/>
    <w:rsid w:val="009C0EA2"/>
    <w:rsid w:val="009C10FE"/>
    <w:rsid w:val="009C1328"/>
    <w:rsid w:val="009C1671"/>
    <w:rsid w:val="009C2419"/>
    <w:rsid w:val="009C2769"/>
    <w:rsid w:val="009C2CFC"/>
    <w:rsid w:val="009C2EE0"/>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37B"/>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21A"/>
    <w:rsid w:val="009E041A"/>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5D2F"/>
    <w:rsid w:val="009E6001"/>
    <w:rsid w:val="009E615D"/>
    <w:rsid w:val="009E64D9"/>
    <w:rsid w:val="009E675B"/>
    <w:rsid w:val="009E68EC"/>
    <w:rsid w:val="009E6F28"/>
    <w:rsid w:val="009E738D"/>
    <w:rsid w:val="009E7CA8"/>
    <w:rsid w:val="009E7EC9"/>
    <w:rsid w:val="009F0282"/>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580"/>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3FF1"/>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4FD"/>
    <w:rsid w:val="00A34657"/>
    <w:rsid w:val="00A347CD"/>
    <w:rsid w:val="00A3486B"/>
    <w:rsid w:val="00A34C11"/>
    <w:rsid w:val="00A34DD0"/>
    <w:rsid w:val="00A34FBE"/>
    <w:rsid w:val="00A35245"/>
    <w:rsid w:val="00A356E6"/>
    <w:rsid w:val="00A35832"/>
    <w:rsid w:val="00A35FBB"/>
    <w:rsid w:val="00A362DC"/>
    <w:rsid w:val="00A364BE"/>
    <w:rsid w:val="00A368E8"/>
    <w:rsid w:val="00A36B46"/>
    <w:rsid w:val="00A36B7A"/>
    <w:rsid w:val="00A36C36"/>
    <w:rsid w:val="00A36CD2"/>
    <w:rsid w:val="00A36E2D"/>
    <w:rsid w:val="00A3712E"/>
    <w:rsid w:val="00A37315"/>
    <w:rsid w:val="00A3755E"/>
    <w:rsid w:val="00A37994"/>
    <w:rsid w:val="00A37A3E"/>
    <w:rsid w:val="00A40407"/>
    <w:rsid w:val="00A40AD1"/>
    <w:rsid w:val="00A40EA2"/>
    <w:rsid w:val="00A41161"/>
    <w:rsid w:val="00A41872"/>
    <w:rsid w:val="00A41A7C"/>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954"/>
    <w:rsid w:val="00A46A0B"/>
    <w:rsid w:val="00A46A15"/>
    <w:rsid w:val="00A46A5D"/>
    <w:rsid w:val="00A46D0B"/>
    <w:rsid w:val="00A46F66"/>
    <w:rsid w:val="00A47699"/>
    <w:rsid w:val="00A476F7"/>
    <w:rsid w:val="00A47899"/>
    <w:rsid w:val="00A50238"/>
    <w:rsid w:val="00A50920"/>
    <w:rsid w:val="00A50AE6"/>
    <w:rsid w:val="00A50BFD"/>
    <w:rsid w:val="00A50EDE"/>
    <w:rsid w:val="00A50EE1"/>
    <w:rsid w:val="00A5107B"/>
    <w:rsid w:val="00A5159E"/>
    <w:rsid w:val="00A51AE2"/>
    <w:rsid w:val="00A51DD5"/>
    <w:rsid w:val="00A51EE4"/>
    <w:rsid w:val="00A5201A"/>
    <w:rsid w:val="00A52100"/>
    <w:rsid w:val="00A52147"/>
    <w:rsid w:val="00A522FC"/>
    <w:rsid w:val="00A52325"/>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17D"/>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A2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0FE"/>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14F5"/>
    <w:rsid w:val="00A71661"/>
    <w:rsid w:val="00A71B95"/>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42E"/>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3EC7"/>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410"/>
    <w:rsid w:val="00A9288F"/>
    <w:rsid w:val="00A9289C"/>
    <w:rsid w:val="00A929AC"/>
    <w:rsid w:val="00A92ACD"/>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483"/>
    <w:rsid w:val="00A96A41"/>
    <w:rsid w:val="00A96C57"/>
    <w:rsid w:val="00A96D07"/>
    <w:rsid w:val="00A97A3D"/>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94B"/>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1D0"/>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3DD9"/>
    <w:rsid w:val="00B14096"/>
    <w:rsid w:val="00B140C0"/>
    <w:rsid w:val="00B14108"/>
    <w:rsid w:val="00B144F2"/>
    <w:rsid w:val="00B145DD"/>
    <w:rsid w:val="00B14761"/>
    <w:rsid w:val="00B148D6"/>
    <w:rsid w:val="00B149A2"/>
    <w:rsid w:val="00B14CE6"/>
    <w:rsid w:val="00B1501C"/>
    <w:rsid w:val="00B15099"/>
    <w:rsid w:val="00B15231"/>
    <w:rsid w:val="00B1526C"/>
    <w:rsid w:val="00B15311"/>
    <w:rsid w:val="00B154C2"/>
    <w:rsid w:val="00B1581F"/>
    <w:rsid w:val="00B1586D"/>
    <w:rsid w:val="00B158EA"/>
    <w:rsid w:val="00B163A0"/>
    <w:rsid w:val="00B16408"/>
    <w:rsid w:val="00B16645"/>
    <w:rsid w:val="00B167D1"/>
    <w:rsid w:val="00B16E9F"/>
    <w:rsid w:val="00B170C9"/>
    <w:rsid w:val="00B17226"/>
    <w:rsid w:val="00B1737B"/>
    <w:rsid w:val="00B173B2"/>
    <w:rsid w:val="00B1763F"/>
    <w:rsid w:val="00B1764A"/>
    <w:rsid w:val="00B17D65"/>
    <w:rsid w:val="00B20215"/>
    <w:rsid w:val="00B208A8"/>
    <w:rsid w:val="00B20B35"/>
    <w:rsid w:val="00B20D9D"/>
    <w:rsid w:val="00B20E1E"/>
    <w:rsid w:val="00B20E71"/>
    <w:rsid w:val="00B2113F"/>
    <w:rsid w:val="00B21465"/>
    <w:rsid w:val="00B2155B"/>
    <w:rsid w:val="00B21831"/>
    <w:rsid w:val="00B21ADE"/>
    <w:rsid w:val="00B21B47"/>
    <w:rsid w:val="00B21B55"/>
    <w:rsid w:val="00B21F44"/>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2B6"/>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62F"/>
    <w:rsid w:val="00B52760"/>
    <w:rsid w:val="00B52781"/>
    <w:rsid w:val="00B52F5D"/>
    <w:rsid w:val="00B5339F"/>
    <w:rsid w:val="00B5371D"/>
    <w:rsid w:val="00B539B6"/>
    <w:rsid w:val="00B53D18"/>
    <w:rsid w:val="00B54207"/>
    <w:rsid w:val="00B54F05"/>
    <w:rsid w:val="00B5552C"/>
    <w:rsid w:val="00B55A72"/>
    <w:rsid w:val="00B55FBC"/>
    <w:rsid w:val="00B56746"/>
    <w:rsid w:val="00B567FB"/>
    <w:rsid w:val="00B56E11"/>
    <w:rsid w:val="00B5762D"/>
    <w:rsid w:val="00B576BE"/>
    <w:rsid w:val="00B57C43"/>
    <w:rsid w:val="00B57CE4"/>
    <w:rsid w:val="00B57E28"/>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3D3"/>
    <w:rsid w:val="00B65514"/>
    <w:rsid w:val="00B658AD"/>
    <w:rsid w:val="00B65969"/>
    <w:rsid w:val="00B659AC"/>
    <w:rsid w:val="00B65C9A"/>
    <w:rsid w:val="00B65CB4"/>
    <w:rsid w:val="00B66C2A"/>
    <w:rsid w:val="00B66EB6"/>
    <w:rsid w:val="00B67973"/>
    <w:rsid w:val="00B67E14"/>
    <w:rsid w:val="00B70262"/>
    <w:rsid w:val="00B70469"/>
    <w:rsid w:val="00B7046E"/>
    <w:rsid w:val="00B70495"/>
    <w:rsid w:val="00B7078F"/>
    <w:rsid w:val="00B70812"/>
    <w:rsid w:val="00B70C10"/>
    <w:rsid w:val="00B70DB1"/>
    <w:rsid w:val="00B70F20"/>
    <w:rsid w:val="00B70FB7"/>
    <w:rsid w:val="00B71077"/>
    <w:rsid w:val="00B712B2"/>
    <w:rsid w:val="00B713E5"/>
    <w:rsid w:val="00B71696"/>
    <w:rsid w:val="00B71766"/>
    <w:rsid w:val="00B719AE"/>
    <w:rsid w:val="00B719D4"/>
    <w:rsid w:val="00B71CB9"/>
    <w:rsid w:val="00B71DDD"/>
    <w:rsid w:val="00B71FEF"/>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5D1"/>
    <w:rsid w:val="00B847A9"/>
    <w:rsid w:val="00B8494B"/>
    <w:rsid w:val="00B84B40"/>
    <w:rsid w:val="00B84DB8"/>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A6C"/>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4E99"/>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832"/>
    <w:rsid w:val="00BA2042"/>
    <w:rsid w:val="00BA20A7"/>
    <w:rsid w:val="00BA23FA"/>
    <w:rsid w:val="00BA24B1"/>
    <w:rsid w:val="00BA2669"/>
    <w:rsid w:val="00BA2674"/>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815"/>
    <w:rsid w:val="00BC39AF"/>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6FA3"/>
    <w:rsid w:val="00BC7001"/>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30BC"/>
    <w:rsid w:val="00BE37A8"/>
    <w:rsid w:val="00BE37B2"/>
    <w:rsid w:val="00BE37D5"/>
    <w:rsid w:val="00BE3A6F"/>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255"/>
    <w:rsid w:val="00BF1B6B"/>
    <w:rsid w:val="00BF1B6E"/>
    <w:rsid w:val="00BF226B"/>
    <w:rsid w:val="00BF2304"/>
    <w:rsid w:val="00BF2671"/>
    <w:rsid w:val="00BF2799"/>
    <w:rsid w:val="00BF27E4"/>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960"/>
    <w:rsid w:val="00C04F27"/>
    <w:rsid w:val="00C04F37"/>
    <w:rsid w:val="00C04F7E"/>
    <w:rsid w:val="00C05063"/>
    <w:rsid w:val="00C05996"/>
    <w:rsid w:val="00C05DB9"/>
    <w:rsid w:val="00C05FC0"/>
    <w:rsid w:val="00C0615C"/>
    <w:rsid w:val="00C069EB"/>
    <w:rsid w:val="00C06D3C"/>
    <w:rsid w:val="00C06D78"/>
    <w:rsid w:val="00C07314"/>
    <w:rsid w:val="00C0755A"/>
    <w:rsid w:val="00C07615"/>
    <w:rsid w:val="00C0768F"/>
    <w:rsid w:val="00C0774C"/>
    <w:rsid w:val="00C07790"/>
    <w:rsid w:val="00C07C56"/>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48"/>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96"/>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702"/>
    <w:rsid w:val="00C33E5E"/>
    <w:rsid w:val="00C34285"/>
    <w:rsid w:val="00C347A3"/>
    <w:rsid w:val="00C34BCF"/>
    <w:rsid w:val="00C34EE3"/>
    <w:rsid w:val="00C34F83"/>
    <w:rsid w:val="00C34FCC"/>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2CD"/>
    <w:rsid w:val="00C4160B"/>
    <w:rsid w:val="00C419D0"/>
    <w:rsid w:val="00C41A9C"/>
    <w:rsid w:val="00C41C2E"/>
    <w:rsid w:val="00C41D69"/>
    <w:rsid w:val="00C4257A"/>
    <w:rsid w:val="00C4260B"/>
    <w:rsid w:val="00C428B8"/>
    <w:rsid w:val="00C428C1"/>
    <w:rsid w:val="00C42A7B"/>
    <w:rsid w:val="00C4341E"/>
    <w:rsid w:val="00C43888"/>
    <w:rsid w:val="00C439B0"/>
    <w:rsid w:val="00C43D5E"/>
    <w:rsid w:val="00C43FE7"/>
    <w:rsid w:val="00C44113"/>
    <w:rsid w:val="00C4415A"/>
    <w:rsid w:val="00C4423C"/>
    <w:rsid w:val="00C44584"/>
    <w:rsid w:val="00C447F9"/>
    <w:rsid w:val="00C44B68"/>
    <w:rsid w:val="00C452B8"/>
    <w:rsid w:val="00C45462"/>
    <w:rsid w:val="00C45645"/>
    <w:rsid w:val="00C458C0"/>
    <w:rsid w:val="00C45C92"/>
    <w:rsid w:val="00C45F13"/>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2CF5"/>
    <w:rsid w:val="00C5331D"/>
    <w:rsid w:val="00C5358E"/>
    <w:rsid w:val="00C5379F"/>
    <w:rsid w:val="00C53CA6"/>
    <w:rsid w:val="00C53F41"/>
    <w:rsid w:val="00C53FED"/>
    <w:rsid w:val="00C54056"/>
    <w:rsid w:val="00C54699"/>
    <w:rsid w:val="00C54B22"/>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E6C"/>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06F"/>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6F95"/>
    <w:rsid w:val="00C873C0"/>
    <w:rsid w:val="00C877AF"/>
    <w:rsid w:val="00C87802"/>
    <w:rsid w:val="00C87A5F"/>
    <w:rsid w:val="00C87BDA"/>
    <w:rsid w:val="00C901E1"/>
    <w:rsid w:val="00C90502"/>
    <w:rsid w:val="00C9063C"/>
    <w:rsid w:val="00C90692"/>
    <w:rsid w:val="00C906E8"/>
    <w:rsid w:val="00C9086C"/>
    <w:rsid w:val="00C90A9D"/>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88"/>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596"/>
    <w:rsid w:val="00CB0D42"/>
    <w:rsid w:val="00CB0EE1"/>
    <w:rsid w:val="00CB1218"/>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1BD"/>
    <w:rsid w:val="00CC33C3"/>
    <w:rsid w:val="00CC3D09"/>
    <w:rsid w:val="00CC437A"/>
    <w:rsid w:val="00CC45A1"/>
    <w:rsid w:val="00CC4C4B"/>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59F"/>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23D"/>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74B"/>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6E8"/>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68C"/>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82C"/>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6"/>
    <w:rsid w:val="00D131C9"/>
    <w:rsid w:val="00D13345"/>
    <w:rsid w:val="00D13503"/>
    <w:rsid w:val="00D1411C"/>
    <w:rsid w:val="00D1415D"/>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DFE"/>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927"/>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379"/>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AF7"/>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144"/>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D0"/>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15E"/>
    <w:rsid w:val="00D75269"/>
    <w:rsid w:val="00D7557E"/>
    <w:rsid w:val="00D75813"/>
    <w:rsid w:val="00D75B43"/>
    <w:rsid w:val="00D75F39"/>
    <w:rsid w:val="00D75FA7"/>
    <w:rsid w:val="00D76001"/>
    <w:rsid w:val="00D76E1E"/>
    <w:rsid w:val="00D76E2C"/>
    <w:rsid w:val="00D76E77"/>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1DD"/>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7BE"/>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1B"/>
    <w:rsid w:val="00DA2CC2"/>
    <w:rsid w:val="00DA3607"/>
    <w:rsid w:val="00DA38D2"/>
    <w:rsid w:val="00DA3904"/>
    <w:rsid w:val="00DA3CE4"/>
    <w:rsid w:val="00DA42D5"/>
    <w:rsid w:val="00DA4475"/>
    <w:rsid w:val="00DA44DE"/>
    <w:rsid w:val="00DA486E"/>
    <w:rsid w:val="00DA51BC"/>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00C"/>
    <w:rsid w:val="00DB3234"/>
    <w:rsid w:val="00DB366D"/>
    <w:rsid w:val="00DB37BD"/>
    <w:rsid w:val="00DB39AE"/>
    <w:rsid w:val="00DB3D7A"/>
    <w:rsid w:val="00DB3DD9"/>
    <w:rsid w:val="00DB3F2A"/>
    <w:rsid w:val="00DB3F9A"/>
    <w:rsid w:val="00DB421F"/>
    <w:rsid w:val="00DB4816"/>
    <w:rsid w:val="00DB51CA"/>
    <w:rsid w:val="00DB526A"/>
    <w:rsid w:val="00DB5E24"/>
    <w:rsid w:val="00DB680A"/>
    <w:rsid w:val="00DB69A6"/>
    <w:rsid w:val="00DB6B5A"/>
    <w:rsid w:val="00DB6E9E"/>
    <w:rsid w:val="00DB70AA"/>
    <w:rsid w:val="00DB70B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2EC"/>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34"/>
    <w:rsid w:val="00DE144B"/>
    <w:rsid w:val="00DE1776"/>
    <w:rsid w:val="00DE1C8F"/>
    <w:rsid w:val="00DE2183"/>
    <w:rsid w:val="00DE21D6"/>
    <w:rsid w:val="00DE2241"/>
    <w:rsid w:val="00DE24BC"/>
    <w:rsid w:val="00DE27FE"/>
    <w:rsid w:val="00DE2A2E"/>
    <w:rsid w:val="00DE2D02"/>
    <w:rsid w:val="00DE2DD0"/>
    <w:rsid w:val="00DE32AE"/>
    <w:rsid w:val="00DE33C5"/>
    <w:rsid w:val="00DE34A8"/>
    <w:rsid w:val="00DE3862"/>
    <w:rsid w:val="00DE39D5"/>
    <w:rsid w:val="00DE3A14"/>
    <w:rsid w:val="00DE3C38"/>
    <w:rsid w:val="00DE3EA1"/>
    <w:rsid w:val="00DE3FCC"/>
    <w:rsid w:val="00DE4276"/>
    <w:rsid w:val="00DE434D"/>
    <w:rsid w:val="00DE46BE"/>
    <w:rsid w:val="00DE495C"/>
    <w:rsid w:val="00DE4C40"/>
    <w:rsid w:val="00DE4EFE"/>
    <w:rsid w:val="00DE507D"/>
    <w:rsid w:val="00DE54C0"/>
    <w:rsid w:val="00DE58DF"/>
    <w:rsid w:val="00DE58E8"/>
    <w:rsid w:val="00DE5F3B"/>
    <w:rsid w:val="00DE6786"/>
    <w:rsid w:val="00DE6AF4"/>
    <w:rsid w:val="00DE6B2B"/>
    <w:rsid w:val="00DE72E9"/>
    <w:rsid w:val="00DE7326"/>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C0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B9F"/>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A09"/>
    <w:rsid w:val="00EB6A53"/>
    <w:rsid w:val="00EB71B5"/>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E2D"/>
    <w:rsid w:val="00EC2374"/>
    <w:rsid w:val="00EC2737"/>
    <w:rsid w:val="00EC2A59"/>
    <w:rsid w:val="00EC2DDB"/>
    <w:rsid w:val="00EC3410"/>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7E4"/>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B34"/>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318"/>
    <w:rsid w:val="00EE64DE"/>
    <w:rsid w:val="00EE669D"/>
    <w:rsid w:val="00EE66A9"/>
    <w:rsid w:val="00EE6D37"/>
    <w:rsid w:val="00EE75CE"/>
    <w:rsid w:val="00EE78A0"/>
    <w:rsid w:val="00EE7F6D"/>
    <w:rsid w:val="00EF0102"/>
    <w:rsid w:val="00EF017D"/>
    <w:rsid w:val="00EF08B4"/>
    <w:rsid w:val="00EF0CD3"/>
    <w:rsid w:val="00EF0D41"/>
    <w:rsid w:val="00EF0EF9"/>
    <w:rsid w:val="00EF105A"/>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1F71"/>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4A2"/>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374"/>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0C"/>
    <w:rsid w:val="00F33E1F"/>
    <w:rsid w:val="00F3409C"/>
    <w:rsid w:val="00F341D6"/>
    <w:rsid w:val="00F34528"/>
    <w:rsid w:val="00F34611"/>
    <w:rsid w:val="00F346BA"/>
    <w:rsid w:val="00F34859"/>
    <w:rsid w:val="00F34B00"/>
    <w:rsid w:val="00F34B79"/>
    <w:rsid w:val="00F34C52"/>
    <w:rsid w:val="00F34FBD"/>
    <w:rsid w:val="00F355A4"/>
    <w:rsid w:val="00F35AB3"/>
    <w:rsid w:val="00F35C9D"/>
    <w:rsid w:val="00F35ECC"/>
    <w:rsid w:val="00F362C0"/>
    <w:rsid w:val="00F366B3"/>
    <w:rsid w:val="00F366BE"/>
    <w:rsid w:val="00F36CC8"/>
    <w:rsid w:val="00F36FA5"/>
    <w:rsid w:val="00F375F9"/>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E8F"/>
    <w:rsid w:val="00F53F25"/>
    <w:rsid w:val="00F53F70"/>
    <w:rsid w:val="00F54143"/>
    <w:rsid w:val="00F54341"/>
    <w:rsid w:val="00F5450A"/>
    <w:rsid w:val="00F54610"/>
    <w:rsid w:val="00F54C5F"/>
    <w:rsid w:val="00F54E6F"/>
    <w:rsid w:val="00F55010"/>
    <w:rsid w:val="00F55462"/>
    <w:rsid w:val="00F55C1E"/>
    <w:rsid w:val="00F55C88"/>
    <w:rsid w:val="00F55E49"/>
    <w:rsid w:val="00F55F2D"/>
    <w:rsid w:val="00F567C6"/>
    <w:rsid w:val="00F56909"/>
    <w:rsid w:val="00F56CB5"/>
    <w:rsid w:val="00F56DCF"/>
    <w:rsid w:val="00F56F79"/>
    <w:rsid w:val="00F5776D"/>
    <w:rsid w:val="00F577FA"/>
    <w:rsid w:val="00F57A16"/>
    <w:rsid w:val="00F57B5C"/>
    <w:rsid w:val="00F57BB2"/>
    <w:rsid w:val="00F57CA4"/>
    <w:rsid w:val="00F57D9F"/>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44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C31"/>
    <w:rsid w:val="00F82F02"/>
    <w:rsid w:val="00F8353B"/>
    <w:rsid w:val="00F838D2"/>
    <w:rsid w:val="00F8400B"/>
    <w:rsid w:val="00F846CA"/>
    <w:rsid w:val="00F84850"/>
    <w:rsid w:val="00F848F8"/>
    <w:rsid w:val="00F84B55"/>
    <w:rsid w:val="00F854C3"/>
    <w:rsid w:val="00F857FE"/>
    <w:rsid w:val="00F85A65"/>
    <w:rsid w:val="00F85EAB"/>
    <w:rsid w:val="00F8611B"/>
    <w:rsid w:val="00F86209"/>
    <w:rsid w:val="00F867C1"/>
    <w:rsid w:val="00F869A4"/>
    <w:rsid w:val="00F86B80"/>
    <w:rsid w:val="00F86C1F"/>
    <w:rsid w:val="00F86F38"/>
    <w:rsid w:val="00F870B8"/>
    <w:rsid w:val="00F871F2"/>
    <w:rsid w:val="00F8720C"/>
    <w:rsid w:val="00F87409"/>
    <w:rsid w:val="00F8777D"/>
    <w:rsid w:val="00F8783E"/>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3CA"/>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492"/>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91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E70"/>
    <w:rsid w:val="00FC2281"/>
    <w:rsid w:val="00FC248A"/>
    <w:rsid w:val="00FC27B7"/>
    <w:rsid w:val="00FC28C0"/>
    <w:rsid w:val="00FC2960"/>
    <w:rsid w:val="00FC2AA1"/>
    <w:rsid w:val="00FC2E14"/>
    <w:rsid w:val="00FC2FC5"/>
    <w:rsid w:val="00FC3158"/>
    <w:rsid w:val="00FC31BD"/>
    <w:rsid w:val="00FC35AB"/>
    <w:rsid w:val="00FC3905"/>
    <w:rsid w:val="00FC39F2"/>
    <w:rsid w:val="00FC3BC3"/>
    <w:rsid w:val="00FC3DD2"/>
    <w:rsid w:val="00FC3DD4"/>
    <w:rsid w:val="00FC3EBF"/>
    <w:rsid w:val="00FC41C9"/>
    <w:rsid w:val="00FC45D7"/>
    <w:rsid w:val="00FC4923"/>
    <w:rsid w:val="00FC4CC1"/>
    <w:rsid w:val="00FC4F76"/>
    <w:rsid w:val="00FC50C1"/>
    <w:rsid w:val="00FC5240"/>
    <w:rsid w:val="00FC5260"/>
    <w:rsid w:val="00FC563C"/>
    <w:rsid w:val="00FC578E"/>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9F5"/>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893"/>
    <w:rsid w:val="00FF2A7A"/>
    <w:rsid w:val="00FF34BC"/>
    <w:rsid w:val="00FF3640"/>
    <w:rsid w:val="00FF36E2"/>
    <w:rsid w:val="00FF37A3"/>
    <w:rsid w:val="00FF3ADA"/>
    <w:rsid w:val="00FF3B33"/>
    <w:rsid w:val="00FF3B8D"/>
    <w:rsid w:val="00FF3BCC"/>
    <w:rsid w:val="00FF3DB8"/>
    <w:rsid w:val="00FF3FBD"/>
    <w:rsid w:val="00FF483D"/>
    <w:rsid w:val="00FF4DC3"/>
    <w:rsid w:val="00FF4EB6"/>
    <w:rsid w:val="00FF4EC5"/>
    <w:rsid w:val="00FF4FA5"/>
    <w:rsid w:val="00FF53C6"/>
    <w:rsid w:val="00FF569D"/>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94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58355605">
      <w:bodyDiv w:val="1"/>
      <w:marLeft w:val="0"/>
      <w:marRight w:val="0"/>
      <w:marTop w:val="0"/>
      <w:marBottom w:val="0"/>
      <w:divBdr>
        <w:top w:val="none" w:sz="0" w:space="0" w:color="auto"/>
        <w:left w:val="none" w:sz="0" w:space="0" w:color="auto"/>
        <w:bottom w:val="none" w:sz="0" w:space="0" w:color="auto"/>
        <w:right w:val="none" w:sz="0" w:space="0" w:color="auto"/>
      </w:divBdr>
      <w:divsChild>
        <w:div w:id="1364790490">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2613414">
      <w:bodyDiv w:val="1"/>
      <w:marLeft w:val="0"/>
      <w:marRight w:val="0"/>
      <w:marTop w:val="0"/>
      <w:marBottom w:val="0"/>
      <w:divBdr>
        <w:top w:val="none" w:sz="0" w:space="0" w:color="auto"/>
        <w:left w:val="none" w:sz="0" w:space="0" w:color="auto"/>
        <w:bottom w:val="none" w:sz="0" w:space="0" w:color="auto"/>
        <w:right w:val="none" w:sz="0" w:space="0" w:color="auto"/>
      </w:divBdr>
      <w:divsChild>
        <w:div w:id="1785541817">
          <w:marLeft w:val="0"/>
          <w:marRight w:val="0"/>
          <w:marTop w:val="0"/>
          <w:marBottom w:val="0"/>
          <w:divBdr>
            <w:top w:val="none" w:sz="0" w:space="0" w:color="auto"/>
            <w:left w:val="none" w:sz="0" w:space="0" w:color="auto"/>
            <w:bottom w:val="none" w:sz="0" w:space="0" w:color="auto"/>
            <w:right w:val="none" w:sz="0" w:space="0" w:color="auto"/>
          </w:divBdr>
        </w:div>
        <w:div w:id="773478258">
          <w:marLeft w:val="0"/>
          <w:marRight w:val="0"/>
          <w:marTop w:val="0"/>
          <w:marBottom w:val="0"/>
          <w:divBdr>
            <w:top w:val="none" w:sz="0" w:space="0" w:color="auto"/>
            <w:left w:val="none" w:sz="0" w:space="0" w:color="auto"/>
            <w:bottom w:val="none" w:sz="0" w:space="0" w:color="auto"/>
            <w:right w:val="none" w:sz="0" w:space="0" w:color="auto"/>
          </w:divBdr>
        </w:div>
        <w:div w:id="1486969318">
          <w:marLeft w:val="0"/>
          <w:marRight w:val="0"/>
          <w:marTop w:val="0"/>
          <w:marBottom w:val="0"/>
          <w:divBdr>
            <w:top w:val="none" w:sz="0" w:space="0" w:color="auto"/>
            <w:left w:val="none" w:sz="0" w:space="0" w:color="auto"/>
            <w:bottom w:val="none" w:sz="0" w:space="0" w:color="auto"/>
            <w:right w:val="none" w:sz="0" w:space="0" w:color="auto"/>
          </w:divBdr>
        </w:div>
        <w:div w:id="14043081">
          <w:marLeft w:val="0"/>
          <w:marRight w:val="0"/>
          <w:marTop w:val="0"/>
          <w:marBottom w:val="0"/>
          <w:divBdr>
            <w:top w:val="none" w:sz="0" w:space="0" w:color="auto"/>
            <w:left w:val="none" w:sz="0" w:space="0" w:color="auto"/>
            <w:bottom w:val="none" w:sz="0" w:space="0" w:color="auto"/>
            <w:right w:val="none" w:sz="0" w:space="0" w:color="auto"/>
          </w:divBdr>
        </w:div>
        <w:div w:id="290791207">
          <w:marLeft w:val="0"/>
          <w:marRight w:val="0"/>
          <w:marTop w:val="0"/>
          <w:marBottom w:val="0"/>
          <w:divBdr>
            <w:top w:val="none" w:sz="0" w:space="0" w:color="auto"/>
            <w:left w:val="none" w:sz="0" w:space="0" w:color="auto"/>
            <w:bottom w:val="none" w:sz="0" w:space="0" w:color="auto"/>
            <w:right w:val="none" w:sz="0" w:space="0" w:color="auto"/>
          </w:divBdr>
        </w:div>
        <w:div w:id="557980582">
          <w:marLeft w:val="0"/>
          <w:marRight w:val="0"/>
          <w:marTop w:val="0"/>
          <w:marBottom w:val="0"/>
          <w:divBdr>
            <w:top w:val="none" w:sz="0" w:space="0" w:color="auto"/>
            <w:left w:val="none" w:sz="0" w:space="0" w:color="auto"/>
            <w:bottom w:val="none" w:sz="0" w:space="0" w:color="auto"/>
            <w:right w:val="none" w:sz="0" w:space="0" w:color="auto"/>
          </w:divBdr>
        </w:div>
        <w:div w:id="1170877287">
          <w:marLeft w:val="0"/>
          <w:marRight w:val="0"/>
          <w:marTop w:val="0"/>
          <w:marBottom w:val="0"/>
          <w:divBdr>
            <w:top w:val="none" w:sz="0" w:space="0" w:color="auto"/>
            <w:left w:val="none" w:sz="0" w:space="0" w:color="auto"/>
            <w:bottom w:val="none" w:sz="0" w:space="0" w:color="auto"/>
            <w:right w:val="none" w:sz="0" w:space="0" w:color="auto"/>
          </w:divBdr>
        </w:div>
        <w:div w:id="337536199">
          <w:marLeft w:val="0"/>
          <w:marRight w:val="0"/>
          <w:marTop w:val="0"/>
          <w:marBottom w:val="0"/>
          <w:divBdr>
            <w:top w:val="none" w:sz="0" w:space="0" w:color="auto"/>
            <w:left w:val="none" w:sz="0" w:space="0" w:color="auto"/>
            <w:bottom w:val="none" w:sz="0" w:space="0" w:color="auto"/>
            <w:right w:val="none" w:sz="0" w:space="0" w:color="auto"/>
          </w:divBdr>
        </w:div>
        <w:div w:id="1158040835">
          <w:marLeft w:val="0"/>
          <w:marRight w:val="0"/>
          <w:marTop w:val="0"/>
          <w:marBottom w:val="0"/>
          <w:divBdr>
            <w:top w:val="none" w:sz="0" w:space="0" w:color="auto"/>
            <w:left w:val="none" w:sz="0" w:space="0" w:color="auto"/>
            <w:bottom w:val="none" w:sz="0" w:space="0" w:color="auto"/>
            <w:right w:val="none" w:sz="0" w:space="0" w:color="auto"/>
          </w:divBdr>
        </w:div>
        <w:div w:id="332539408">
          <w:marLeft w:val="0"/>
          <w:marRight w:val="0"/>
          <w:marTop w:val="0"/>
          <w:marBottom w:val="0"/>
          <w:divBdr>
            <w:top w:val="none" w:sz="0" w:space="0" w:color="auto"/>
            <w:left w:val="none" w:sz="0" w:space="0" w:color="auto"/>
            <w:bottom w:val="none" w:sz="0" w:space="0" w:color="auto"/>
            <w:right w:val="none" w:sz="0" w:space="0" w:color="auto"/>
          </w:divBdr>
        </w:div>
        <w:div w:id="1364864363">
          <w:marLeft w:val="0"/>
          <w:marRight w:val="0"/>
          <w:marTop w:val="0"/>
          <w:marBottom w:val="0"/>
          <w:divBdr>
            <w:top w:val="none" w:sz="0" w:space="0" w:color="auto"/>
            <w:left w:val="none" w:sz="0" w:space="0" w:color="auto"/>
            <w:bottom w:val="none" w:sz="0" w:space="0" w:color="auto"/>
            <w:right w:val="none" w:sz="0" w:space="0" w:color="auto"/>
          </w:divBdr>
        </w:div>
        <w:div w:id="2143383321">
          <w:marLeft w:val="0"/>
          <w:marRight w:val="0"/>
          <w:marTop w:val="0"/>
          <w:marBottom w:val="0"/>
          <w:divBdr>
            <w:top w:val="none" w:sz="0" w:space="0" w:color="auto"/>
            <w:left w:val="none" w:sz="0" w:space="0" w:color="auto"/>
            <w:bottom w:val="none" w:sz="0" w:space="0" w:color="auto"/>
            <w:right w:val="none" w:sz="0" w:space="0" w:color="auto"/>
          </w:divBdr>
        </w:div>
        <w:div w:id="1185051753">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71426982">
      <w:bodyDiv w:val="1"/>
      <w:marLeft w:val="0"/>
      <w:marRight w:val="0"/>
      <w:marTop w:val="0"/>
      <w:marBottom w:val="0"/>
      <w:divBdr>
        <w:top w:val="none" w:sz="0" w:space="0" w:color="auto"/>
        <w:left w:val="none" w:sz="0" w:space="0" w:color="auto"/>
        <w:bottom w:val="none" w:sz="0" w:space="0" w:color="auto"/>
        <w:right w:val="none" w:sz="0" w:space="0" w:color="auto"/>
      </w:divBdr>
      <w:divsChild>
        <w:div w:id="1321881">
          <w:marLeft w:val="0"/>
          <w:marRight w:val="0"/>
          <w:marTop w:val="0"/>
          <w:marBottom w:val="0"/>
          <w:divBdr>
            <w:top w:val="none" w:sz="0" w:space="0" w:color="auto"/>
            <w:left w:val="none" w:sz="0" w:space="0" w:color="auto"/>
            <w:bottom w:val="none" w:sz="0" w:space="0" w:color="auto"/>
            <w:right w:val="none" w:sz="0" w:space="0" w:color="auto"/>
          </w:divBdr>
        </w:div>
      </w:divsChild>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985087981">
      <w:bodyDiv w:val="1"/>
      <w:marLeft w:val="0"/>
      <w:marRight w:val="0"/>
      <w:marTop w:val="0"/>
      <w:marBottom w:val="0"/>
      <w:divBdr>
        <w:top w:val="none" w:sz="0" w:space="0" w:color="auto"/>
        <w:left w:val="none" w:sz="0" w:space="0" w:color="auto"/>
        <w:bottom w:val="none" w:sz="0" w:space="0" w:color="auto"/>
        <w:right w:val="none" w:sz="0" w:space="0" w:color="auto"/>
      </w:divBdr>
      <w:divsChild>
        <w:div w:id="133857578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78227793">
      <w:bodyDiv w:val="1"/>
      <w:marLeft w:val="0"/>
      <w:marRight w:val="0"/>
      <w:marTop w:val="0"/>
      <w:marBottom w:val="0"/>
      <w:divBdr>
        <w:top w:val="none" w:sz="0" w:space="0" w:color="auto"/>
        <w:left w:val="none" w:sz="0" w:space="0" w:color="auto"/>
        <w:bottom w:val="none" w:sz="0" w:space="0" w:color="auto"/>
        <w:right w:val="none" w:sz="0" w:space="0" w:color="auto"/>
      </w:divBdr>
      <w:divsChild>
        <w:div w:id="1531802153">
          <w:marLeft w:val="0"/>
          <w:marRight w:val="0"/>
          <w:marTop w:val="0"/>
          <w:marBottom w:val="0"/>
          <w:divBdr>
            <w:top w:val="none" w:sz="0" w:space="0" w:color="auto"/>
            <w:left w:val="none" w:sz="0" w:space="0" w:color="auto"/>
            <w:bottom w:val="none" w:sz="0" w:space="0" w:color="auto"/>
            <w:right w:val="none" w:sz="0" w:space="0" w:color="auto"/>
          </w:divBdr>
        </w:div>
      </w:divsChild>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5271</TotalTime>
  <Pages>2</Pages>
  <Words>714</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5199</cp:revision>
  <cp:lastPrinted>2018-04-04T09:40:00Z</cp:lastPrinted>
  <dcterms:created xsi:type="dcterms:W3CDTF">2018-11-01T12:39:00Z</dcterms:created>
  <dcterms:modified xsi:type="dcterms:W3CDTF">2023-05-12T05:49:00Z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